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mbeddings/Microsoft_Visio___3.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cs="Times New Roman"/>
          <w:sz w:val="36"/>
          <w:szCs w:val="36"/>
        </w:rPr>
      </w:pPr>
      <w:bookmarkStart w:id="0" w:name="_Toc21867"/>
      <w:bookmarkStart w:id="1" w:name="_Toc71582778"/>
      <w:r>
        <w:rPr>
          <w:rFonts w:hint="eastAsia" w:eastAsia="黑体" w:cs="Times New Roman"/>
          <w:szCs w:val="24"/>
          <w:lang w:eastAsia="zh-CN"/>
        </w:rPr>
        <w:drawing>
          <wp:anchor distT="0" distB="0" distL="114300" distR="114300" simplePos="0" relativeHeight="251704320" behindDoc="1" locked="0" layoutInCell="1" allowOverlap="1">
            <wp:simplePos x="0" y="0"/>
            <wp:positionH relativeFrom="column">
              <wp:posOffset>-502285</wp:posOffset>
            </wp:positionH>
            <wp:positionV relativeFrom="paragraph">
              <wp:posOffset>-821690</wp:posOffset>
            </wp:positionV>
            <wp:extent cx="6848475" cy="9766300"/>
            <wp:effectExtent l="0" t="0" r="9525" b="6350"/>
            <wp:wrapNone/>
            <wp:docPr id="28" name="图片 28" descr="4a2ba39e130b75025861f37ad9d20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4a2ba39e130b75025861f37ad9d20fd"/>
                    <pic:cNvPicPr>
                      <a:picLocks noChangeAspect="1"/>
                    </pic:cNvPicPr>
                  </pic:nvPicPr>
                  <pic:blipFill>
                    <a:blip r:embed="rId15"/>
                    <a:stretch>
                      <a:fillRect/>
                    </a:stretch>
                  </pic:blipFill>
                  <pic:spPr>
                    <a:xfrm>
                      <a:off x="0" y="0"/>
                      <a:ext cx="6848475" cy="9766300"/>
                    </a:xfrm>
                    <a:prstGeom prst="rect">
                      <a:avLst/>
                    </a:prstGeom>
                  </pic:spPr>
                </pic:pic>
              </a:graphicData>
            </a:graphic>
          </wp:anchor>
        </w:drawing>
      </w:r>
    </w:p>
    <w:bookmarkEnd w:id="0"/>
    <w:bookmarkEnd w:id="1"/>
    <w:p>
      <w:pPr>
        <w:adjustRightInd w:val="0"/>
        <w:snapToGrid w:val="0"/>
        <w:spacing w:line="288" w:lineRule="auto"/>
        <w:ind w:firstLine="0" w:firstLineChars="0"/>
        <w:jc w:val="center"/>
        <w:outlineLvl w:val="0"/>
        <w:rPr>
          <w:rFonts w:ascii="宋体" w:hAnsi="宋体" w:cs="宋体"/>
          <w:b/>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701" w:right="1531" w:bottom="1701" w:left="1531" w:header="851" w:footer="1077" w:gutter="0"/>
          <w:pgNumType w:start="3"/>
          <w:cols w:space="720" w:num="1"/>
          <w:docGrid w:linePitch="312" w:charSpace="0"/>
        </w:sectPr>
      </w:pPr>
    </w:p>
    <w:p>
      <w:pPr>
        <w:pStyle w:val="33"/>
        <w:ind w:left="480" w:firstLine="480"/>
      </w:pPr>
      <w:r>
        <w:rPr>
          <w:rFonts w:hint="eastAsia" w:eastAsia="黑体" w:cs="Times New Roman"/>
          <w:szCs w:val="24"/>
          <w:lang w:eastAsia="zh-CN"/>
        </w:rPr>
        <w:drawing>
          <wp:anchor distT="0" distB="0" distL="114300" distR="114300" simplePos="0" relativeHeight="251704320" behindDoc="1" locked="0" layoutInCell="1" allowOverlap="1">
            <wp:simplePos x="0" y="0"/>
            <wp:positionH relativeFrom="column">
              <wp:posOffset>-647700</wp:posOffset>
            </wp:positionH>
            <wp:positionV relativeFrom="paragraph">
              <wp:posOffset>-685165</wp:posOffset>
            </wp:positionV>
            <wp:extent cx="6898640" cy="10053320"/>
            <wp:effectExtent l="0" t="0" r="16510" b="5080"/>
            <wp:wrapNone/>
            <wp:docPr id="30" name="图片 30" descr="5082d760969629c1c2f56d1d337ed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5082d760969629c1c2f56d1d337ed22"/>
                    <pic:cNvPicPr>
                      <a:picLocks noChangeAspect="1"/>
                    </pic:cNvPicPr>
                  </pic:nvPicPr>
                  <pic:blipFill>
                    <a:blip r:embed="rId16"/>
                    <a:stretch>
                      <a:fillRect/>
                    </a:stretch>
                  </pic:blipFill>
                  <pic:spPr>
                    <a:xfrm>
                      <a:off x="0" y="0"/>
                      <a:ext cx="6898640" cy="10053320"/>
                    </a:xfrm>
                    <a:prstGeom prst="rect">
                      <a:avLst/>
                    </a:prstGeom>
                  </pic:spPr>
                </pic:pic>
              </a:graphicData>
            </a:graphic>
          </wp:anchor>
        </w:drawing>
      </w:r>
    </w:p>
    <w:p>
      <w:pPr>
        <w:ind w:firstLine="480"/>
        <w:rPr>
          <w:rFonts w:hint="eastAsia" w:eastAsia="黑体" w:cs="Times New Roman"/>
          <w:szCs w:val="24"/>
          <w:lang w:eastAsia="zh-CN"/>
        </w:rPr>
        <w:sectPr>
          <w:pgSz w:w="11906" w:h="16838"/>
          <w:pgMar w:top="1701" w:right="1531" w:bottom="1701" w:left="1531" w:header="851" w:footer="1077" w:gutter="0"/>
          <w:pgNumType w:start="3"/>
          <w:cols w:space="720" w:num="1"/>
          <w:docGrid w:linePitch="312" w:charSpace="0"/>
        </w:sectPr>
      </w:pPr>
    </w:p>
    <w:p>
      <w:pPr>
        <w:pStyle w:val="2"/>
        <w:rPr>
          <w:rFonts w:hint="eastAsia" w:eastAsia="宋体"/>
          <w:lang w:eastAsia="zh-CN"/>
        </w:rPr>
        <w:sectPr>
          <w:pgSz w:w="11906" w:h="16838"/>
          <w:pgMar w:top="1701" w:right="1531" w:bottom="1701" w:left="1531" w:header="851" w:footer="1077" w:gutter="0"/>
          <w:pgNumType w:start="3"/>
          <w:cols w:space="720" w:num="1"/>
          <w:docGrid w:linePitch="312" w:charSpace="0"/>
        </w:sectPr>
      </w:pPr>
      <w:bookmarkStart w:id="18" w:name="_GoBack"/>
      <w:bookmarkEnd w:id="18"/>
      <w:r>
        <w:rPr>
          <w:rFonts w:hint="eastAsia" w:eastAsia="宋体"/>
          <w:lang w:eastAsia="zh-CN"/>
        </w:rPr>
        <w:drawing>
          <wp:anchor distT="0" distB="0" distL="114300" distR="114300" simplePos="0" relativeHeight="251697152" behindDoc="0" locked="0" layoutInCell="1" allowOverlap="1">
            <wp:simplePos x="0" y="0"/>
            <wp:positionH relativeFrom="column">
              <wp:posOffset>-99695</wp:posOffset>
            </wp:positionH>
            <wp:positionV relativeFrom="paragraph">
              <wp:posOffset>-975995</wp:posOffset>
            </wp:positionV>
            <wp:extent cx="6101080" cy="10304780"/>
            <wp:effectExtent l="0" t="0" r="13970" b="1270"/>
            <wp:wrapNone/>
            <wp:docPr id="70" name="图片 70" descr="0194f89e19d43e86b4339adca94f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194f89e19d43e86b4339adca94fc16"/>
                    <pic:cNvPicPr>
                      <a:picLocks noChangeAspect="1"/>
                    </pic:cNvPicPr>
                  </pic:nvPicPr>
                  <pic:blipFill>
                    <a:blip r:embed="rId17"/>
                    <a:stretch>
                      <a:fillRect/>
                    </a:stretch>
                  </pic:blipFill>
                  <pic:spPr>
                    <a:xfrm>
                      <a:off x="0" y="0"/>
                      <a:ext cx="6101080" cy="10304780"/>
                    </a:xfrm>
                    <a:prstGeom prst="rect">
                      <a:avLst/>
                    </a:prstGeom>
                  </pic:spPr>
                </pic:pic>
              </a:graphicData>
            </a:graphic>
          </wp:anchor>
        </w:drawing>
      </w:r>
    </w:p>
    <w:p>
      <w:pPr>
        <w:rPr>
          <w:rFonts w:hint="eastAsia" w:eastAsia="宋体"/>
          <w:lang w:eastAsia="zh-CN"/>
        </w:rPr>
        <w:sectPr>
          <w:pgSz w:w="11906" w:h="16838"/>
          <w:pgMar w:top="1701" w:right="1531" w:bottom="1701" w:left="1531" w:header="851" w:footer="1077" w:gutter="0"/>
          <w:pgNumType w:start="3"/>
          <w:cols w:space="720" w:num="1"/>
          <w:docGrid w:linePitch="312" w:charSpace="0"/>
        </w:sectPr>
      </w:pPr>
      <w:r>
        <w:rPr>
          <w:rFonts w:hint="eastAsia" w:eastAsia="宋体"/>
          <w:lang w:eastAsia="zh-CN"/>
        </w:rPr>
        <w:drawing>
          <wp:anchor distT="0" distB="0" distL="114300" distR="114300" simplePos="0" relativeHeight="251698176" behindDoc="0" locked="0" layoutInCell="1" allowOverlap="1">
            <wp:simplePos x="0" y="0"/>
            <wp:positionH relativeFrom="column">
              <wp:posOffset>-671195</wp:posOffset>
            </wp:positionH>
            <wp:positionV relativeFrom="paragraph">
              <wp:posOffset>-412750</wp:posOffset>
            </wp:positionV>
            <wp:extent cx="6920865" cy="8950960"/>
            <wp:effectExtent l="0" t="0" r="13335" b="2540"/>
            <wp:wrapNone/>
            <wp:docPr id="71" name="图片 71" descr="8496e28c41b44eb82c6883bb1c2f8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8496e28c41b44eb82c6883bb1c2f80c"/>
                    <pic:cNvPicPr>
                      <a:picLocks noChangeAspect="1"/>
                    </pic:cNvPicPr>
                  </pic:nvPicPr>
                  <pic:blipFill>
                    <a:blip r:embed="rId18"/>
                    <a:stretch>
                      <a:fillRect/>
                    </a:stretch>
                  </pic:blipFill>
                  <pic:spPr>
                    <a:xfrm>
                      <a:off x="0" y="0"/>
                      <a:ext cx="6920865" cy="8950960"/>
                    </a:xfrm>
                    <a:prstGeom prst="rect">
                      <a:avLst/>
                    </a:prstGeom>
                  </pic:spPr>
                </pic:pic>
              </a:graphicData>
            </a:graphic>
          </wp:anchor>
        </w:drawing>
      </w:r>
    </w:p>
    <w:p>
      <w:pPr>
        <w:pStyle w:val="2"/>
        <w:rPr>
          <w:rFonts w:hint="eastAsia" w:eastAsia="宋体"/>
          <w:lang w:eastAsia="zh-CN"/>
        </w:rPr>
        <w:sectPr>
          <w:pgSz w:w="11906" w:h="16838"/>
          <w:pgMar w:top="1701" w:right="1531" w:bottom="1701" w:left="1531" w:header="851" w:footer="1077" w:gutter="0"/>
          <w:pgNumType w:start="3"/>
          <w:cols w:space="720" w:num="1"/>
          <w:docGrid w:linePitch="312" w:charSpace="0"/>
        </w:sectPr>
      </w:pPr>
      <w:r>
        <w:rPr>
          <w:rFonts w:hint="eastAsia" w:eastAsia="宋体"/>
          <w:lang w:eastAsia="zh-CN"/>
        </w:rPr>
        <w:drawing>
          <wp:anchor distT="0" distB="0" distL="114300" distR="114300" simplePos="0" relativeHeight="251703296" behindDoc="0" locked="0" layoutInCell="1" allowOverlap="1">
            <wp:simplePos x="0" y="0"/>
            <wp:positionH relativeFrom="column">
              <wp:posOffset>-337820</wp:posOffset>
            </wp:positionH>
            <wp:positionV relativeFrom="paragraph">
              <wp:posOffset>-808990</wp:posOffset>
            </wp:positionV>
            <wp:extent cx="6257290" cy="9783445"/>
            <wp:effectExtent l="0" t="0" r="10160" b="8255"/>
            <wp:wrapNone/>
            <wp:docPr id="72" name="图片 72" descr="685940ac1ee72441e1293e89206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685940ac1ee72441e1293e892065096"/>
                    <pic:cNvPicPr>
                      <a:picLocks noChangeAspect="1"/>
                    </pic:cNvPicPr>
                  </pic:nvPicPr>
                  <pic:blipFill>
                    <a:blip r:embed="rId19"/>
                    <a:stretch>
                      <a:fillRect/>
                    </a:stretch>
                  </pic:blipFill>
                  <pic:spPr>
                    <a:xfrm>
                      <a:off x="0" y="0"/>
                      <a:ext cx="6257290" cy="9783445"/>
                    </a:xfrm>
                    <a:prstGeom prst="rect">
                      <a:avLst/>
                    </a:prstGeom>
                  </pic:spPr>
                </pic:pic>
              </a:graphicData>
            </a:graphic>
          </wp:anchor>
        </w:drawing>
      </w:r>
    </w:p>
    <w:p>
      <w:pPr>
        <w:rPr>
          <w:rFonts w:hint="eastAsia" w:eastAsia="宋体"/>
          <w:lang w:eastAsia="zh-CN"/>
        </w:rPr>
        <w:sectPr>
          <w:pgSz w:w="11906" w:h="16838"/>
          <w:pgMar w:top="1701" w:right="1531" w:bottom="1701" w:left="1531" w:header="851" w:footer="1077" w:gutter="0"/>
          <w:pgNumType w:start="3"/>
          <w:cols w:space="720" w:num="1"/>
          <w:docGrid w:linePitch="312" w:charSpace="0"/>
        </w:sectPr>
      </w:pPr>
      <w:r>
        <w:rPr>
          <w:rFonts w:hint="eastAsia" w:eastAsia="宋体"/>
          <w:lang w:eastAsia="zh-CN"/>
        </w:rPr>
        <w:drawing>
          <wp:anchor distT="0" distB="0" distL="114300" distR="114300" simplePos="0" relativeHeight="251702272" behindDoc="0" locked="0" layoutInCell="1" allowOverlap="1">
            <wp:simplePos x="0" y="0"/>
            <wp:positionH relativeFrom="column">
              <wp:posOffset>-338455</wp:posOffset>
            </wp:positionH>
            <wp:positionV relativeFrom="paragraph">
              <wp:posOffset>-789940</wp:posOffset>
            </wp:positionV>
            <wp:extent cx="6414770" cy="9918700"/>
            <wp:effectExtent l="0" t="0" r="5080" b="6350"/>
            <wp:wrapNone/>
            <wp:docPr id="73" name="图片 73" descr="0cf66df086327f03f3611822560ef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0cf66df086327f03f3611822560efa8"/>
                    <pic:cNvPicPr>
                      <a:picLocks noChangeAspect="1"/>
                    </pic:cNvPicPr>
                  </pic:nvPicPr>
                  <pic:blipFill>
                    <a:blip r:embed="rId20"/>
                    <a:stretch>
                      <a:fillRect/>
                    </a:stretch>
                  </pic:blipFill>
                  <pic:spPr>
                    <a:xfrm>
                      <a:off x="0" y="0"/>
                      <a:ext cx="6414770" cy="9918700"/>
                    </a:xfrm>
                    <a:prstGeom prst="rect">
                      <a:avLst/>
                    </a:prstGeom>
                  </pic:spPr>
                </pic:pic>
              </a:graphicData>
            </a:graphic>
          </wp:anchor>
        </w:drawing>
      </w:r>
    </w:p>
    <w:p>
      <w:pPr>
        <w:pStyle w:val="2"/>
        <w:rPr>
          <w:rFonts w:hint="eastAsia" w:eastAsia="宋体"/>
          <w:lang w:eastAsia="zh-CN"/>
        </w:rPr>
        <w:sectPr>
          <w:pgSz w:w="11906" w:h="16838"/>
          <w:pgMar w:top="1701" w:right="1531" w:bottom="1701" w:left="1531" w:header="851" w:footer="1077" w:gutter="0"/>
          <w:pgNumType w:start="3"/>
          <w:cols w:space="720" w:num="1"/>
          <w:docGrid w:linePitch="312" w:charSpace="0"/>
        </w:sectPr>
      </w:pPr>
      <w:r>
        <w:rPr>
          <w:rFonts w:hint="eastAsia" w:eastAsia="宋体"/>
          <w:lang w:eastAsia="zh-CN"/>
        </w:rPr>
        <w:drawing>
          <wp:anchor distT="0" distB="0" distL="114300" distR="114300" simplePos="0" relativeHeight="251701248" behindDoc="0" locked="0" layoutInCell="1" allowOverlap="1">
            <wp:simplePos x="0" y="0"/>
            <wp:positionH relativeFrom="column">
              <wp:posOffset>-647700</wp:posOffset>
            </wp:positionH>
            <wp:positionV relativeFrom="paragraph">
              <wp:posOffset>-785495</wp:posOffset>
            </wp:positionV>
            <wp:extent cx="6500495" cy="10099675"/>
            <wp:effectExtent l="0" t="0" r="14605" b="15875"/>
            <wp:wrapNone/>
            <wp:docPr id="74" name="图片 74" descr="a6e954c2bc2f25b7e7ec5e7a627b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a6e954c2bc2f25b7e7ec5e7a627bf3f"/>
                    <pic:cNvPicPr>
                      <a:picLocks noChangeAspect="1"/>
                    </pic:cNvPicPr>
                  </pic:nvPicPr>
                  <pic:blipFill>
                    <a:blip r:embed="rId21"/>
                    <a:stretch>
                      <a:fillRect/>
                    </a:stretch>
                  </pic:blipFill>
                  <pic:spPr>
                    <a:xfrm>
                      <a:off x="0" y="0"/>
                      <a:ext cx="6500495" cy="10099675"/>
                    </a:xfrm>
                    <a:prstGeom prst="rect">
                      <a:avLst/>
                    </a:prstGeom>
                  </pic:spPr>
                </pic:pic>
              </a:graphicData>
            </a:graphic>
          </wp:anchor>
        </w:drawing>
      </w:r>
    </w:p>
    <w:p>
      <w:pPr>
        <w:rPr>
          <w:rFonts w:hint="eastAsia" w:eastAsia="宋体"/>
          <w:lang w:eastAsia="zh-CN"/>
        </w:rPr>
        <w:sectPr>
          <w:pgSz w:w="11906" w:h="16838"/>
          <w:pgMar w:top="1701" w:right="1531" w:bottom="1701" w:left="1531" w:header="851" w:footer="1077" w:gutter="0"/>
          <w:pgNumType w:start="3"/>
          <w:cols w:space="720" w:num="1"/>
          <w:docGrid w:linePitch="312" w:charSpace="0"/>
        </w:sectPr>
      </w:pPr>
      <w:r>
        <w:rPr>
          <w:rFonts w:hint="eastAsia" w:eastAsia="宋体"/>
          <w:lang w:eastAsia="zh-CN"/>
        </w:rPr>
        <w:drawing>
          <wp:anchor distT="0" distB="0" distL="114300" distR="114300" simplePos="0" relativeHeight="251700224" behindDoc="0" locked="0" layoutInCell="1" allowOverlap="1">
            <wp:simplePos x="0" y="0"/>
            <wp:positionH relativeFrom="column">
              <wp:posOffset>-433705</wp:posOffset>
            </wp:positionH>
            <wp:positionV relativeFrom="paragraph">
              <wp:posOffset>-699135</wp:posOffset>
            </wp:positionV>
            <wp:extent cx="6515100" cy="9885045"/>
            <wp:effectExtent l="0" t="0" r="0" b="1905"/>
            <wp:wrapNone/>
            <wp:docPr id="75" name="图片 75" descr="dd7217381b3d457eff28b9792f4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d7217381b3d457eff28b9792f41303"/>
                    <pic:cNvPicPr>
                      <a:picLocks noChangeAspect="1"/>
                    </pic:cNvPicPr>
                  </pic:nvPicPr>
                  <pic:blipFill>
                    <a:blip r:embed="rId22"/>
                    <a:stretch>
                      <a:fillRect/>
                    </a:stretch>
                  </pic:blipFill>
                  <pic:spPr>
                    <a:xfrm>
                      <a:off x="0" y="0"/>
                      <a:ext cx="6515100" cy="9885045"/>
                    </a:xfrm>
                    <a:prstGeom prst="rect">
                      <a:avLst/>
                    </a:prstGeom>
                  </pic:spPr>
                </pic:pic>
              </a:graphicData>
            </a:graphic>
          </wp:anchor>
        </w:drawing>
      </w:r>
    </w:p>
    <w:p>
      <w:pPr>
        <w:pStyle w:val="2"/>
        <w:rPr>
          <w:rFonts w:hint="eastAsia" w:eastAsia="宋体"/>
          <w:lang w:eastAsia="zh-CN"/>
        </w:rPr>
        <w:sectPr>
          <w:pgSz w:w="11906" w:h="16838"/>
          <w:pgMar w:top="1701" w:right="1531" w:bottom="1701" w:left="1531" w:header="851" w:footer="1077" w:gutter="0"/>
          <w:pgNumType w:start="3"/>
          <w:cols w:space="720" w:num="1"/>
          <w:docGrid w:linePitch="312" w:charSpace="0"/>
        </w:sectPr>
      </w:pPr>
      <w:r>
        <w:rPr>
          <w:rFonts w:hint="eastAsia" w:eastAsia="宋体"/>
          <w:lang w:eastAsia="zh-CN"/>
        </w:rPr>
        <w:drawing>
          <wp:anchor distT="0" distB="0" distL="114300" distR="114300" simplePos="0" relativeHeight="251699200" behindDoc="0" locked="0" layoutInCell="1" allowOverlap="1">
            <wp:simplePos x="0" y="0"/>
            <wp:positionH relativeFrom="column">
              <wp:posOffset>-171450</wp:posOffset>
            </wp:positionH>
            <wp:positionV relativeFrom="paragraph">
              <wp:posOffset>-518160</wp:posOffset>
            </wp:positionV>
            <wp:extent cx="6267450" cy="9472295"/>
            <wp:effectExtent l="0" t="0" r="0" b="14605"/>
            <wp:wrapNone/>
            <wp:docPr id="76" name="图片 76" descr="d0f4df33df158fa92160df3059a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d0f4df33df158fa92160df3059a3131"/>
                    <pic:cNvPicPr>
                      <a:picLocks noChangeAspect="1"/>
                    </pic:cNvPicPr>
                  </pic:nvPicPr>
                  <pic:blipFill>
                    <a:blip r:embed="rId23"/>
                    <a:stretch>
                      <a:fillRect/>
                    </a:stretch>
                  </pic:blipFill>
                  <pic:spPr>
                    <a:xfrm>
                      <a:off x="0" y="0"/>
                      <a:ext cx="6267450" cy="9472295"/>
                    </a:xfrm>
                    <a:prstGeom prst="rect">
                      <a:avLst/>
                    </a:prstGeom>
                  </pic:spPr>
                </pic:pic>
              </a:graphicData>
            </a:graphic>
          </wp:anchor>
        </w:drawing>
      </w:r>
    </w:p>
    <w:p>
      <w:pPr>
        <w:pStyle w:val="3"/>
        <w:rPr>
          <w:color w:val="auto"/>
        </w:rPr>
      </w:pPr>
      <w:bookmarkStart w:id="2" w:name="_Toc71582779"/>
      <w:r>
        <w:rPr>
          <w:color w:val="auto"/>
        </w:rPr>
        <w:t>一、建设项目基本情况</w:t>
      </w:r>
      <w:bookmarkEnd w:id="2"/>
    </w:p>
    <w:tbl>
      <w:tblPr>
        <w:tblStyle w:val="34"/>
        <w:tblW w:w="896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2"/>
        <w:gridCol w:w="483"/>
        <w:gridCol w:w="1369"/>
        <w:gridCol w:w="2261"/>
        <w:gridCol w:w="2118"/>
        <w:gridCol w:w="2547"/>
        <w:gridCol w:w="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366"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建设项目名称</w:t>
            </w:r>
          </w:p>
        </w:tc>
        <w:tc>
          <w:tcPr>
            <w:tcW w:w="7018" w:type="dxa"/>
            <w:gridSpan w:val="4"/>
            <w:vAlign w:val="center"/>
          </w:tcPr>
          <w:p>
            <w:pPr>
              <w:adjustRightInd w:val="0"/>
              <w:snapToGrid w:val="0"/>
              <w:spacing w:line="240" w:lineRule="auto"/>
              <w:ind w:firstLine="0" w:firstLineChars="0"/>
              <w:jc w:val="center"/>
              <w:rPr>
                <w:rFonts w:cs="Times New Roman"/>
                <w:szCs w:val="21"/>
              </w:rPr>
            </w:pPr>
            <w:r>
              <w:rPr>
                <w:rFonts w:hint="eastAsia" w:cs="Times New Roman"/>
                <w:szCs w:val="21"/>
              </w:rPr>
              <w:t>临汾同盛源再生资源循环科技有限公司</w:t>
            </w:r>
          </w:p>
          <w:p>
            <w:pPr>
              <w:adjustRightInd w:val="0"/>
              <w:snapToGrid w:val="0"/>
              <w:spacing w:line="240" w:lineRule="auto"/>
              <w:ind w:firstLine="0" w:firstLineChars="0"/>
              <w:jc w:val="center"/>
              <w:rPr>
                <w:rFonts w:cs="Times New Roman"/>
                <w:szCs w:val="21"/>
              </w:rPr>
            </w:pPr>
            <w:r>
              <w:rPr>
                <w:rFonts w:hint="eastAsia" w:cs="Times New Roman"/>
                <w:szCs w:val="21"/>
              </w:rPr>
              <w:t>新建年回收加工配送5万吨废旧特种金属项目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497"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项目代码</w:t>
            </w:r>
          </w:p>
        </w:tc>
        <w:tc>
          <w:tcPr>
            <w:tcW w:w="7018" w:type="dxa"/>
            <w:gridSpan w:val="4"/>
            <w:vAlign w:val="center"/>
          </w:tcPr>
          <w:p>
            <w:pPr>
              <w:adjustRightInd w:val="0"/>
              <w:snapToGrid w:val="0"/>
              <w:spacing w:line="240" w:lineRule="auto"/>
              <w:ind w:firstLine="0" w:firstLineChars="0"/>
              <w:jc w:val="center"/>
              <w:rPr>
                <w:rFonts w:cs="Times New Roman"/>
                <w:szCs w:val="21"/>
              </w:rPr>
            </w:pPr>
            <w:r>
              <w:rPr>
                <w:rFonts w:hint="eastAsia" w:cs="Times New Roman"/>
                <w:szCs w:val="21"/>
              </w:rPr>
              <w:t>2208-141088-89-01-497604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497"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建设单位联系人</w:t>
            </w:r>
          </w:p>
        </w:tc>
        <w:tc>
          <w:tcPr>
            <w:tcW w:w="2261" w:type="dxa"/>
            <w:vAlign w:val="center"/>
          </w:tcPr>
          <w:p>
            <w:pPr>
              <w:adjustRightInd w:val="0"/>
              <w:snapToGrid w:val="0"/>
              <w:spacing w:line="240" w:lineRule="auto"/>
              <w:ind w:firstLine="0" w:firstLineChars="0"/>
              <w:jc w:val="center"/>
              <w:rPr>
                <w:rFonts w:cs="Times New Roman"/>
                <w:szCs w:val="21"/>
              </w:rPr>
            </w:pPr>
            <w:r>
              <w:rPr>
                <w:rFonts w:hint="eastAsia" w:cs="Times New Roman"/>
                <w:szCs w:val="21"/>
              </w:rPr>
              <w:t>刘涛</w:t>
            </w:r>
          </w:p>
        </w:tc>
        <w:tc>
          <w:tcPr>
            <w:tcW w:w="2118" w:type="dxa"/>
            <w:vAlign w:val="center"/>
          </w:tcPr>
          <w:p>
            <w:pPr>
              <w:adjustRightInd w:val="0"/>
              <w:snapToGrid w:val="0"/>
              <w:spacing w:line="240" w:lineRule="auto"/>
              <w:ind w:firstLine="0" w:firstLineChars="0"/>
              <w:jc w:val="center"/>
              <w:rPr>
                <w:rFonts w:cs="Times New Roman"/>
                <w:szCs w:val="21"/>
              </w:rPr>
            </w:pPr>
            <w:r>
              <w:rPr>
                <w:rFonts w:cs="Times New Roman"/>
                <w:szCs w:val="21"/>
              </w:rPr>
              <w:t>联系方式</w:t>
            </w:r>
          </w:p>
        </w:tc>
        <w:tc>
          <w:tcPr>
            <w:tcW w:w="2639" w:type="dxa"/>
            <w:gridSpan w:val="2"/>
            <w:vAlign w:val="center"/>
          </w:tcPr>
          <w:p>
            <w:pPr>
              <w:adjustRightInd w:val="0"/>
              <w:snapToGrid w:val="0"/>
              <w:spacing w:line="240" w:lineRule="auto"/>
              <w:ind w:firstLine="0" w:firstLineChars="0"/>
              <w:jc w:val="center"/>
              <w:rPr>
                <w:rFonts w:cs="Times New Roman"/>
                <w:szCs w:val="21"/>
              </w:rPr>
            </w:pPr>
            <w:r>
              <w:rPr>
                <w:rFonts w:hint="eastAsia" w:cs="Times New Roman"/>
                <w:szCs w:val="21"/>
              </w:rPr>
              <w:t>13191119968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497"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建设地点</w:t>
            </w:r>
          </w:p>
        </w:tc>
        <w:tc>
          <w:tcPr>
            <w:tcW w:w="7018" w:type="dxa"/>
            <w:gridSpan w:val="4"/>
            <w:vAlign w:val="center"/>
          </w:tcPr>
          <w:p>
            <w:pPr>
              <w:pStyle w:val="33"/>
              <w:spacing w:after="0" w:line="240" w:lineRule="auto"/>
              <w:ind w:left="0" w:leftChars="0" w:firstLine="0" w:firstLineChars="0"/>
              <w:jc w:val="center"/>
            </w:pPr>
            <w:r>
              <w:rPr>
                <w:rFonts w:hint="eastAsia"/>
              </w:rPr>
              <w:t>山西省临汾市尧都区大阳镇王雅村西1.1km处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497"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地理坐标</w:t>
            </w:r>
          </w:p>
        </w:tc>
        <w:tc>
          <w:tcPr>
            <w:tcW w:w="7018" w:type="dxa"/>
            <w:gridSpan w:val="4"/>
            <w:vAlign w:val="center"/>
          </w:tcPr>
          <w:p>
            <w:pPr>
              <w:spacing w:line="240" w:lineRule="auto"/>
              <w:ind w:firstLine="0" w:firstLineChars="0"/>
              <w:jc w:val="center"/>
              <w:rPr>
                <w:rFonts w:cs="Times New Roman"/>
                <w:szCs w:val="21"/>
              </w:rPr>
            </w:pPr>
            <w:r>
              <w:rPr>
                <w:rFonts w:hint="eastAsia" w:cs="Times New Roman"/>
                <w:szCs w:val="21"/>
              </w:rPr>
              <w:t>东经：111度38分41.223秒，北纬：36度5分0.921秒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1"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国民经济</w:t>
            </w:r>
          </w:p>
          <w:p>
            <w:pPr>
              <w:adjustRightInd w:val="0"/>
              <w:snapToGrid w:val="0"/>
              <w:spacing w:line="240" w:lineRule="auto"/>
              <w:ind w:firstLine="0" w:firstLineChars="0"/>
              <w:jc w:val="center"/>
              <w:rPr>
                <w:rFonts w:cs="Times New Roman"/>
                <w:szCs w:val="21"/>
              </w:rPr>
            </w:pPr>
            <w:r>
              <w:rPr>
                <w:rFonts w:cs="Times New Roman"/>
                <w:szCs w:val="21"/>
              </w:rPr>
              <w:t>行业类别</w:t>
            </w:r>
          </w:p>
        </w:tc>
        <w:tc>
          <w:tcPr>
            <w:tcW w:w="2261" w:type="dxa"/>
            <w:vAlign w:val="center"/>
          </w:tcPr>
          <w:p>
            <w:pPr>
              <w:adjustRightInd w:val="0"/>
              <w:snapToGrid w:val="0"/>
              <w:spacing w:line="240" w:lineRule="auto"/>
              <w:ind w:firstLine="0" w:firstLineChars="0"/>
              <w:jc w:val="center"/>
              <w:rPr>
                <w:rFonts w:cs="Times New Roman"/>
                <w:szCs w:val="21"/>
              </w:rPr>
            </w:pPr>
            <w:r>
              <w:rPr>
                <w:rFonts w:hint="eastAsia" w:cs="Times New Roman"/>
                <w:szCs w:val="21"/>
              </w:rPr>
              <w:t>C4210金属废弃和碎屑加工处理</w:t>
            </w:r>
          </w:p>
        </w:tc>
        <w:tc>
          <w:tcPr>
            <w:tcW w:w="2118" w:type="dxa"/>
            <w:vAlign w:val="center"/>
          </w:tcPr>
          <w:p>
            <w:pPr>
              <w:adjustRightInd w:val="0"/>
              <w:snapToGrid w:val="0"/>
              <w:spacing w:line="240" w:lineRule="auto"/>
              <w:ind w:firstLine="0" w:firstLineChars="0"/>
              <w:jc w:val="center"/>
              <w:rPr>
                <w:rFonts w:cs="Times New Roman"/>
                <w:szCs w:val="21"/>
              </w:rPr>
            </w:pPr>
            <w:bookmarkStart w:id="3" w:name="_Hlk49843745"/>
            <w:r>
              <w:rPr>
                <w:rFonts w:cs="Times New Roman"/>
                <w:szCs w:val="21"/>
              </w:rPr>
              <w:t>建设项目</w:t>
            </w:r>
          </w:p>
          <w:p>
            <w:pPr>
              <w:adjustRightInd w:val="0"/>
              <w:snapToGrid w:val="0"/>
              <w:spacing w:line="240" w:lineRule="auto"/>
              <w:ind w:firstLine="0" w:firstLineChars="0"/>
              <w:jc w:val="center"/>
              <w:rPr>
                <w:rFonts w:cs="Times New Roman"/>
                <w:szCs w:val="21"/>
              </w:rPr>
            </w:pPr>
            <w:r>
              <w:rPr>
                <w:rFonts w:cs="Times New Roman"/>
                <w:szCs w:val="21"/>
              </w:rPr>
              <w:t>行业类别</w:t>
            </w:r>
            <w:bookmarkEnd w:id="3"/>
          </w:p>
        </w:tc>
        <w:tc>
          <w:tcPr>
            <w:tcW w:w="2639" w:type="dxa"/>
            <w:gridSpan w:val="2"/>
            <w:vAlign w:val="center"/>
          </w:tcPr>
          <w:p>
            <w:pPr>
              <w:adjustRightInd w:val="0"/>
              <w:snapToGrid w:val="0"/>
              <w:spacing w:line="240" w:lineRule="auto"/>
              <w:ind w:firstLine="0" w:firstLineChars="0"/>
              <w:jc w:val="center"/>
              <w:rPr>
                <w:rFonts w:hint="default" w:eastAsia="宋体" w:cs="Times New Roman"/>
                <w:szCs w:val="21"/>
                <w:lang w:val="en-US" w:eastAsia="zh-CN"/>
              </w:rPr>
            </w:pPr>
            <w:r>
              <w:rPr>
                <w:rFonts w:hint="eastAsia" w:cs="Times New Roman"/>
                <w:szCs w:val="21"/>
              </w:rPr>
              <w:t>三十九、废弃资源综合利用业</w:t>
            </w:r>
            <w:r>
              <w:rPr>
                <w:rFonts w:hint="eastAsia" w:cs="Times New Roman"/>
                <w:szCs w:val="21"/>
                <w:lang w:val="en-US" w:eastAsia="zh-CN"/>
              </w:rPr>
              <w:t>42</w:t>
            </w:r>
            <w:r>
              <w:rPr>
                <w:rFonts w:hint="eastAsia" w:cs="Times New Roman"/>
                <w:szCs w:val="21"/>
              </w:rPr>
              <w:t>--金属废料和碎屑加工处理</w:t>
            </w:r>
            <w:r>
              <w:rPr>
                <w:rFonts w:hint="eastAsia" w:cs="Times New Roman"/>
                <w:szCs w:val="21"/>
                <w:lang w:val="en-US" w:eastAsia="zh-CN"/>
              </w:rPr>
              <w:t>421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1219"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建设性质</w:t>
            </w:r>
          </w:p>
        </w:tc>
        <w:tc>
          <w:tcPr>
            <w:tcW w:w="2261" w:type="dxa"/>
            <w:vAlign w:val="center"/>
          </w:tcPr>
          <w:p>
            <w:pPr>
              <w:spacing w:line="240" w:lineRule="auto"/>
              <w:ind w:firstLine="0" w:firstLineChars="0"/>
              <w:jc w:val="left"/>
              <w:rPr>
                <w:rFonts w:cs="Times New Roman"/>
                <w:szCs w:val="21"/>
              </w:rPr>
            </w:pPr>
            <w:r>
              <w:rPr>
                <w:rFonts w:cs="Times New Roman"/>
                <w:szCs w:val="21"/>
              </w:rPr>
              <w:sym w:font="Wingdings 2" w:char="0052"/>
            </w:r>
            <w:r>
              <w:rPr>
                <w:rFonts w:cs="Times New Roman"/>
                <w:szCs w:val="21"/>
              </w:rPr>
              <w:t>新建（迁建）</w:t>
            </w:r>
          </w:p>
          <w:p>
            <w:pPr>
              <w:spacing w:line="240" w:lineRule="auto"/>
              <w:ind w:firstLine="0" w:firstLineChars="0"/>
              <w:jc w:val="left"/>
              <w:rPr>
                <w:rFonts w:cs="Times New Roman"/>
                <w:szCs w:val="21"/>
              </w:rPr>
            </w:pPr>
            <w:r>
              <w:rPr>
                <w:rFonts w:cs="Times New Roman"/>
                <w:szCs w:val="21"/>
              </w:rPr>
              <w:sym w:font="Wingdings 2" w:char="00A3"/>
            </w:r>
            <w:r>
              <w:rPr>
                <w:rFonts w:cs="Times New Roman"/>
                <w:szCs w:val="21"/>
              </w:rPr>
              <w:t>改建</w:t>
            </w:r>
          </w:p>
          <w:p>
            <w:pPr>
              <w:spacing w:line="240" w:lineRule="auto"/>
              <w:ind w:firstLine="0" w:firstLineChars="0"/>
              <w:jc w:val="left"/>
              <w:rPr>
                <w:rFonts w:cs="Times New Roman"/>
                <w:szCs w:val="21"/>
              </w:rPr>
            </w:pPr>
            <w:r>
              <w:rPr>
                <w:rFonts w:cs="Times New Roman"/>
                <w:szCs w:val="21"/>
              </w:rPr>
              <w:sym w:font="Wingdings 2" w:char="00A3"/>
            </w:r>
            <w:r>
              <w:rPr>
                <w:rFonts w:cs="Times New Roman"/>
                <w:szCs w:val="21"/>
              </w:rPr>
              <w:t>扩建</w:t>
            </w:r>
          </w:p>
          <w:p>
            <w:pPr>
              <w:spacing w:line="240" w:lineRule="auto"/>
              <w:ind w:firstLine="0" w:firstLineChars="0"/>
              <w:jc w:val="left"/>
              <w:rPr>
                <w:rFonts w:cs="Times New Roman"/>
                <w:szCs w:val="21"/>
              </w:rPr>
            </w:pPr>
            <w:r>
              <w:rPr>
                <w:rFonts w:cs="Times New Roman"/>
                <w:szCs w:val="21"/>
              </w:rPr>
              <w:sym w:font="Wingdings 2" w:char="00A3"/>
            </w:r>
            <w:r>
              <w:rPr>
                <w:rFonts w:cs="Times New Roman"/>
                <w:szCs w:val="21"/>
              </w:rPr>
              <w:t>技术改造</w:t>
            </w:r>
          </w:p>
        </w:tc>
        <w:tc>
          <w:tcPr>
            <w:tcW w:w="2118" w:type="dxa"/>
            <w:vAlign w:val="center"/>
          </w:tcPr>
          <w:p>
            <w:pPr>
              <w:adjustRightInd w:val="0"/>
              <w:snapToGrid w:val="0"/>
              <w:spacing w:line="240" w:lineRule="auto"/>
              <w:ind w:firstLine="0" w:firstLineChars="0"/>
              <w:jc w:val="center"/>
              <w:rPr>
                <w:rFonts w:cs="Times New Roman"/>
                <w:szCs w:val="21"/>
              </w:rPr>
            </w:pPr>
            <w:r>
              <w:rPr>
                <w:rFonts w:cs="Times New Roman"/>
                <w:szCs w:val="21"/>
              </w:rPr>
              <w:t>建设项目</w:t>
            </w:r>
          </w:p>
          <w:p>
            <w:pPr>
              <w:adjustRightInd w:val="0"/>
              <w:snapToGrid w:val="0"/>
              <w:spacing w:line="240" w:lineRule="auto"/>
              <w:ind w:firstLine="0" w:firstLineChars="0"/>
              <w:jc w:val="center"/>
              <w:rPr>
                <w:rFonts w:cs="Times New Roman"/>
                <w:szCs w:val="21"/>
              </w:rPr>
            </w:pPr>
            <w:r>
              <w:rPr>
                <w:rFonts w:cs="Times New Roman"/>
                <w:szCs w:val="21"/>
              </w:rPr>
              <w:t>申报情形</w:t>
            </w:r>
          </w:p>
        </w:tc>
        <w:tc>
          <w:tcPr>
            <w:tcW w:w="2639" w:type="dxa"/>
            <w:gridSpan w:val="2"/>
            <w:vAlign w:val="center"/>
          </w:tcPr>
          <w:p>
            <w:pPr>
              <w:spacing w:line="240" w:lineRule="auto"/>
              <w:ind w:firstLine="0" w:firstLineChars="0"/>
              <w:jc w:val="left"/>
              <w:rPr>
                <w:rFonts w:cs="Times New Roman"/>
                <w:szCs w:val="21"/>
              </w:rPr>
            </w:pPr>
            <w:r>
              <w:rPr>
                <w:rFonts w:cs="Times New Roman"/>
                <w:szCs w:val="21"/>
              </w:rPr>
              <w:sym w:font="Wingdings 2" w:char="0052"/>
            </w:r>
            <w:r>
              <w:rPr>
                <w:rFonts w:cs="Times New Roman"/>
                <w:szCs w:val="21"/>
              </w:rPr>
              <w:t>首次申报项目</w:t>
            </w:r>
          </w:p>
          <w:p>
            <w:pPr>
              <w:spacing w:line="240" w:lineRule="auto"/>
              <w:ind w:firstLine="0" w:firstLineChars="0"/>
              <w:jc w:val="left"/>
              <w:rPr>
                <w:rFonts w:cs="Times New Roman"/>
                <w:szCs w:val="21"/>
              </w:rPr>
            </w:pPr>
            <w:r>
              <w:rPr>
                <w:rFonts w:cs="Times New Roman"/>
                <w:szCs w:val="21"/>
              </w:rPr>
              <w:sym w:font="Wingdings 2" w:char="00A3"/>
            </w:r>
            <w:r>
              <w:rPr>
                <w:rFonts w:cs="Times New Roman"/>
                <w:szCs w:val="21"/>
              </w:rPr>
              <w:t>不予批准后再次申报项目</w:t>
            </w:r>
          </w:p>
          <w:p>
            <w:pPr>
              <w:spacing w:line="240" w:lineRule="auto"/>
              <w:ind w:firstLine="0" w:firstLineChars="0"/>
              <w:jc w:val="left"/>
              <w:rPr>
                <w:rFonts w:cs="Times New Roman"/>
                <w:szCs w:val="21"/>
              </w:rPr>
            </w:pPr>
            <w:r>
              <w:rPr>
                <w:rFonts w:cs="Times New Roman"/>
                <w:szCs w:val="21"/>
              </w:rPr>
              <w:sym w:font="Wingdings 2" w:char="00A3"/>
            </w:r>
            <w:r>
              <w:rPr>
                <w:rFonts w:cs="Times New Roman"/>
                <w:szCs w:val="21"/>
              </w:rPr>
              <w:t>超五年重新审核项目</w:t>
            </w:r>
          </w:p>
          <w:p>
            <w:pPr>
              <w:spacing w:line="240" w:lineRule="auto"/>
              <w:ind w:firstLine="0" w:firstLineChars="0"/>
              <w:jc w:val="left"/>
              <w:rPr>
                <w:rFonts w:cs="Times New Roman"/>
                <w:szCs w:val="21"/>
              </w:rPr>
            </w:pPr>
            <w:r>
              <w:rPr>
                <w:rFonts w:cs="Times New Roman"/>
                <w:szCs w:val="21"/>
              </w:rPr>
              <w:sym w:font="Wingdings 2" w:char="00A3"/>
            </w:r>
            <w:r>
              <w:rPr>
                <w:rFonts w:cs="Times New Roman"/>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665"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项目审批（核准/</w:t>
            </w:r>
          </w:p>
          <w:p>
            <w:pPr>
              <w:adjustRightInd w:val="0"/>
              <w:snapToGrid w:val="0"/>
              <w:spacing w:line="240" w:lineRule="auto"/>
              <w:ind w:firstLine="0" w:firstLineChars="0"/>
              <w:jc w:val="center"/>
              <w:rPr>
                <w:rFonts w:cs="Times New Roman"/>
                <w:szCs w:val="21"/>
              </w:rPr>
            </w:pPr>
            <w:r>
              <w:rPr>
                <w:rFonts w:cs="Times New Roman"/>
                <w:szCs w:val="21"/>
              </w:rPr>
              <w:t>备案）部门（选填）</w:t>
            </w:r>
          </w:p>
        </w:tc>
        <w:tc>
          <w:tcPr>
            <w:tcW w:w="2261" w:type="dxa"/>
            <w:vAlign w:val="center"/>
          </w:tcPr>
          <w:p>
            <w:pPr>
              <w:adjustRightInd w:val="0"/>
              <w:snapToGrid w:val="0"/>
              <w:spacing w:line="240" w:lineRule="auto"/>
              <w:ind w:firstLine="0" w:firstLineChars="0"/>
              <w:jc w:val="center"/>
              <w:rPr>
                <w:rFonts w:cs="Times New Roman"/>
                <w:szCs w:val="21"/>
              </w:rPr>
            </w:pPr>
            <w:r>
              <w:rPr>
                <w:rFonts w:hint="eastAsia" w:cs="Times New Roman"/>
                <w:szCs w:val="21"/>
              </w:rPr>
              <w:t>尧都高新技术产业开发区行政审批局</w:t>
            </w:r>
          </w:p>
        </w:tc>
        <w:tc>
          <w:tcPr>
            <w:tcW w:w="2118" w:type="dxa"/>
            <w:vAlign w:val="center"/>
          </w:tcPr>
          <w:p>
            <w:pPr>
              <w:adjustRightInd w:val="0"/>
              <w:snapToGrid w:val="0"/>
              <w:spacing w:line="240" w:lineRule="auto"/>
              <w:ind w:firstLine="0" w:firstLineChars="0"/>
              <w:jc w:val="center"/>
              <w:rPr>
                <w:rFonts w:cs="Times New Roman"/>
                <w:szCs w:val="21"/>
              </w:rPr>
            </w:pPr>
            <w:r>
              <w:rPr>
                <w:rFonts w:cs="Times New Roman"/>
                <w:szCs w:val="21"/>
              </w:rPr>
              <w:t>项目审批（核准/</w:t>
            </w:r>
          </w:p>
          <w:p>
            <w:pPr>
              <w:adjustRightInd w:val="0"/>
              <w:snapToGrid w:val="0"/>
              <w:spacing w:line="240" w:lineRule="auto"/>
              <w:ind w:firstLine="0" w:firstLineChars="0"/>
              <w:jc w:val="center"/>
              <w:rPr>
                <w:rFonts w:cs="Times New Roman"/>
                <w:szCs w:val="21"/>
              </w:rPr>
            </w:pPr>
            <w:r>
              <w:rPr>
                <w:rFonts w:cs="Times New Roman"/>
                <w:szCs w:val="21"/>
              </w:rPr>
              <w:t>备案）文号（选填）</w:t>
            </w:r>
          </w:p>
        </w:tc>
        <w:tc>
          <w:tcPr>
            <w:tcW w:w="2639" w:type="dxa"/>
            <w:gridSpan w:val="2"/>
            <w:vAlign w:val="center"/>
          </w:tcPr>
          <w:p>
            <w:pPr>
              <w:adjustRightInd w:val="0"/>
              <w:snapToGrid w:val="0"/>
              <w:spacing w:line="240" w:lineRule="auto"/>
              <w:ind w:firstLine="0" w:firstLineChars="0"/>
              <w:jc w:val="center"/>
              <w:rPr>
                <w:rFonts w:cs="Times New Roman"/>
                <w:szCs w:val="21"/>
              </w:rPr>
            </w:pPr>
            <w:r>
              <w:rPr>
                <w:rFonts w:cs="Times New Roman"/>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315"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总投资（万元）</w:t>
            </w:r>
          </w:p>
        </w:tc>
        <w:tc>
          <w:tcPr>
            <w:tcW w:w="2261" w:type="dxa"/>
            <w:vAlign w:val="center"/>
          </w:tcPr>
          <w:p>
            <w:pPr>
              <w:adjustRightInd w:val="0"/>
              <w:snapToGrid w:val="0"/>
              <w:spacing w:line="240" w:lineRule="auto"/>
              <w:ind w:firstLine="0" w:firstLineChars="0"/>
              <w:jc w:val="center"/>
              <w:rPr>
                <w:rFonts w:cs="Times New Roman"/>
                <w:szCs w:val="21"/>
              </w:rPr>
            </w:pPr>
            <w:r>
              <w:rPr>
                <w:rFonts w:hint="eastAsia" w:cs="Times New Roman"/>
                <w:szCs w:val="21"/>
              </w:rPr>
              <w:t>1314.98</w:t>
            </w:r>
          </w:p>
        </w:tc>
        <w:tc>
          <w:tcPr>
            <w:tcW w:w="2118" w:type="dxa"/>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环保投资（万元）</w:t>
            </w:r>
          </w:p>
        </w:tc>
        <w:tc>
          <w:tcPr>
            <w:tcW w:w="2639" w:type="dxa"/>
            <w:gridSpan w:val="2"/>
            <w:vAlign w:val="center"/>
          </w:tcPr>
          <w:p>
            <w:pPr>
              <w:adjustRightInd w:val="0"/>
              <w:snapToGrid w:val="0"/>
              <w:spacing w:line="240" w:lineRule="auto"/>
              <w:ind w:firstLine="0" w:firstLineChars="0"/>
              <w:jc w:val="center"/>
              <w:rPr>
                <w:rFonts w:cs="Times New Roman"/>
                <w:szCs w:val="21"/>
              </w:rPr>
            </w:pPr>
            <w:r>
              <w:rPr>
                <w:rFonts w:hint="eastAsia" w:cs="Times New Roman"/>
                <w:szCs w:val="21"/>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497"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环保投资占比（%）</w:t>
            </w:r>
          </w:p>
        </w:tc>
        <w:tc>
          <w:tcPr>
            <w:tcW w:w="2261" w:type="dxa"/>
            <w:vAlign w:val="center"/>
          </w:tcPr>
          <w:p>
            <w:pPr>
              <w:adjustRightInd w:val="0"/>
              <w:snapToGrid w:val="0"/>
              <w:spacing w:line="240" w:lineRule="auto"/>
              <w:ind w:firstLine="0" w:firstLineChars="0"/>
              <w:jc w:val="center"/>
              <w:rPr>
                <w:rFonts w:cs="Times New Roman"/>
                <w:szCs w:val="21"/>
              </w:rPr>
            </w:pPr>
            <w:r>
              <w:rPr>
                <w:rFonts w:hint="eastAsia" w:cs="Times New Roman"/>
                <w:szCs w:val="21"/>
              </w:rPr>
              <w:t>1.52</w:t>
            </w:r>
          </w:p>
        </w:tc>
        <w:tc>
          <w:tcPr>
            <w:tcW w:w="2118" w:type="dxa"/>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施工工期</w:t>
            </w:r>
          </w:p>
        </w:tc>
        <w:tc>
          <w:tcPr>
            <w:tcW w:w="2639" w:type="dxa"/>
            <w:gridSpan w:val="2"/>
            <w:vAlign w:val="center"/>
          </w:tcPr>
          <w:p>
            <w:pPr>
              <w:adjustRightInd w:val="0"/>
              <w:snapToGrid w:val="0"/>
              <w:spacing w:line="240" w:lineRule="auto"/>
              <w:ind w:firstLine="0" w:firstLineChars="0"/>
              <w:jc w:val="center"/>
              <w:rPr>
                <w:rFonts w:cs="Times New Roman"/>
                <w:szCs w:val="21"/>
              </w:rPr>
            </w:pPr>
            <w:r>
              <w:rPr>
                <w:rFonts w:hint="eastAsia" w:cs="Times New Roman"/>
                <w:szCs w:val="21"/>
              </w:rPr>
              <w:t>2个月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497" w:hRule="atLeast"/>
          <w:jc w:val="center"/>
        </w:trPr>
        <w:tc>
          <w:tcPr>
            <w:tcW w:w="1852" w:type="dxa"/>
            <w:gridSpan w:val="2"/>
            <w:tcMar>
              <w:top w:w="16" w:type="dxa"/>
              <w:left w:w="16" w:type="dxa"/>
              <w:right w:w="16" w:type="dxa"/>
            </w:tcMar>
            <w:vAlign w:val="center"/>
          </w:tcPr>
          <w:p>
            <w:pPr>
              <w:adjustRightInd w:val="0"/>
              <w:snapToGrid w:val="0"/>
              <w:spacing w:line="240" w:lineRule="auto"/>
              <w:ind w:firstLine="0" w:firstLineChars="0"/>
              <w:jc w:val="center"/>
              <w:rPr>
                <w:rFonts w:cs="Times New Roman"/>
                <w:szCs w:val="21"/>
              </w:rPr>
            </w:pPr>
            <w:r>
              <w:rPr>
                <w:rFonts w:cs="Times New Roman"/>
                <w:szCs w:val="21"/>
              </w:rPr>
              <w:t>是否开工建设</w:t>
            </w:r>
          </w:p>
        </w:tc>
        <w:tc>
          <w:tcPr>
            <w:tcW w:w="2261" w:type="dxa"/>
            <w:vAlign w:val="center"/>
          </w:tcPr>
          <w:p>
            <w:pPr>
              <w:adjustRightInd w:val="0"/>
              <w:snapToGrid w:val="0"/>
              <w:spacing w:line="240" w:lineRule="auto"/>
              <w:ind w:firstLine="0" w:firstLineChars="0"/>
              <w:jc w:val="left"/>
              <w:rPr>
                <w:rFonts w:cs="Times New Roman"/>
                <w:szCs w:val="21"/>
              </w:rPr>
            </w:pPr>
            <w:r>
              <w:rPr>
                <w:rFonts w:cs="Times New Roman"/>
                <w:szCs w:val="21"/>
              </w:rPr>
              <w:sym w:font="Wingdings 2" w:char="0052"/>
            </w:r>
            <w:r>
              <w:rPr>
                <w:rFonts w:cs="Times New Roman"/>
                <w:szCs w:val="21"/>
              </w:rPr>
              <w:t>否</w:t>
            </w:r>
          </w:p>
          <w:p>
            <w:pPr>
              <w:adjustRightInd w:val="0"/>
              <w:snapToGrid w:val="0"/>
              <w:spacing w:line="240" w:lineRule="auto"/>
              <w:ind w:firstLine="0" w:firstLineChars="0"/>
              <w:jc w:val="left"/>
              <w:rPr>
                <w:rFonts w:cs="Times New Roman"/>
                <w:szCs w:val="21"/>
              </w:rPr>
            </w:pPr>
            <w:r>
              <w:rPr>
                <w:rFonts w:cs="Times New Roman"/>
                <w:szCs w:val="21"/>
              </w:rPr>
              <w:sym w:font="Wingdings 2" w:char="00A3"/>
            </w:r>
            <w:r>
              <w:rPr>
                <w:rFonts w:cs="Times New Roman"/>
                <w:szCs w:val="21"/>
              </w:rPr>
              <w:t>是：</w:t>
            </w:r>
          </w:p>
        </w:tc>
        <w:tc>
          <w:tcPr>
            <w:tcW w:w="2118" w:type="dxa"/>
            <w:tcMar>
              <w:top w:w="16" w:type="dxa"/>
              <w:left w:w="16" w:type="dxa"/>
              <w:right w:w="16" w:type="dxa"/>
            </w:tcMar>
            <w:vAlign w:val="center"/>
          </w:tcPr>
          <w:p>
            <w:pPr>
              <w:adjustRightInd w:val="0"/>
              <w:snapToGrid w:val="0"/>
              <w:spacing w:line="240" w:lineRule="auto"/>
              <w:ind w:firstLine="0" w:firstLineChars="0"/>
              <w:jc w:val="center"/>
              <w:rPr>
                <w:rFonts w:cs="Times New Roman"/>
                <w:spacing w:val="-6"/>
                <w:szCs w:val="21"/>
              </w:rPr>
            </w:pPr>
            <w:r>
              <w:rPr>
                <w:rFonts w:cs="Times New Roman"/>
                <w:spacing w:val="-6"/>
                <w:szCs w:val="21"/>
              </w:rPr>
              <w:t>用地（用海）</w:t>
            </w:r>
          </w:p>
          <w:p>
            <w:pPr>
              <w:adjustRightInd w:val="0"/>
              <w:snapToGrid w:val="0"/>
              <w:spacing w:line="240" w:lineRule="auto"/>
              <w:ind w:firstLine="0" w:firstLineChars="0"/>
              <w:jc w:val="center"/>
              <w:rPr>
                <w:rFonts w:cs="Times New Roman"/>
                <w:szCs w:val="21"/>
              </w:rPr>
            </w:pPr>
            <w:r>
              <w:rPr>
                <w:rFonts w:cs="Times New Roman"/>
                <w:spacing w:val="-6"/>
                <w:szCs w:val="21"/>
              </w:rPr>
              <w:t>面积（m</w:t>
            </w:r>
            <w:r>
              <w:rPr>
                <w:rFonts w:cs="Times New Roman"/>
                <w:spacing w:val="-6"/>
                <w:szCs w:val="21"/>
                <w:vertAlign w:val="superscript"/>
              </w:rPr>
              <w:t>2</w:t>
            </w:r>
            <w:r>
              <w:rPr>
                <w:rFonts w:cs="Times New Roman"/>
                <w:spacing w:val="-6"/>
                <w:szCs w:val="21"/>
              </w:rPr>
              <w:t>）</w:t>
            </w:r>
          </w:p>
        </w:tc>
        <w:tc>
          <w:tcPr>
            <w:tcW w:w="2639" w:type="dxa"/>
            <w:gridSpan w:val="2"/>
            <w:vAlign w:val="center"/>
          </w:tcPr>
          <w:p>
            <w:pPr>
              <w:adjustRightInd w:val="0"/>
              <w:snapToGrid w:val="0"/>
              <w:spacing w:line="240" w:lineRule="auto"/>
              <w:ind w:firstLine="0" w:firstLineChars="0"/>
              <w:jc w:val="center"/>
              <w:rPr>
                <w:rFonts w:cs="Times New Roman"/>
                <w:szCs w:val="21"/>
              </w:rPr>
            </w:pPr>
            <w:r>
              <w:rPr>
                <w:rFonts w:cs="Times New Roman"/>
                <w:szCs w:val="21"/>
              </w:rPr>
              <w:t>33333.3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1093" w:hRule="atLeast"/>
          <w:jc w:val="center"/>
        </w:trPr>
        <w:tc>
          <w:tcPr>
            <w:tcW w:w="1852" w:type="dxa"/>
            <w:gridSpan w:val="2"/>
            <w:vAlign w:val="center"/>
          </w:tcPr>
          <w:p>
            <w:pPr>
              <w:adjustRightInd w:val="0"/>
              <w:snapToGrid w:val="0"/>
              <w:spacing w:line="240" w:lineRule="auto"/>
              <w:ind w:firstLine="0" w:firstLineChars="0"/>
              <w:jc w:val="center"/>
              <w:rPr>
                <w:rFonts w:cs="Times New Roman"/>
                <w:kern w:val="0"/>
                <w:szCs w:val="21"/>
              </w:rPr>
            </w:pPr>
            <w:r>
              <w:rPr>
                <w:rFonts w:cs="Times New Roman"/>
                <w:kern w:val="0"/>
                <w:szCs w:val="21"/>
              </w:rPr>
              <w:t>专项评价设置情况</w:t>
            </w:r>
          </w:p>
        </w:tc>
        <w:tc>
          <w:tcPr>
            <w:tcW w:w="7018" w:type="dxa"/>
            <w:gridSpan w:val="4"/>
            <w:vAlign w:val="center"/>
          </w:tcPr>
          <w:p>
            <w:pPr>
              <w:adjustRightInd w:val="0"/>
              <w:snapToGrid w:val="0"/>
              <w:spacing w:line="240" w:lineRule="auto"/>
              <w:ind w:firstLine="0" w:firstLineChars="0"/>
              <w:jc w:val="center"/>
              <w:rPr>
                <w:rFonts w:cs="Times New Roman"/>
                <w:kern w:val="0"/>
                <w:szCs w:val="21"/>
              </w:rPr>
            </w:pPr>
            <w:r>
              <w:rPr>
                <w:rFonts w:cs="Times New Roman"/>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1875" w:hRule="atLeast"/>
          <w:jc w:val="center"/>
        </w:trPr>
        <w:tc>
          <w:tcPr>
            <w:tcW w:w="1852" w:type="dxa"/>
            <w:gridSpan w:val="2"/>
            <w:vAlign w:val="center"/>
          </w:tcPr>
          <w:p>
            <w:pPr>
              <w:autoSpaceDE w:val="0"/>
              <w:autoSpaceDN w:val="0"/>
              <w:adjustRightInd w:val="0"/>
              <w:snapToGrid w:val="0"/>
              <w:spacing w:line="240" w:lineRule="auto"/>
              <w:ind w:firstLine="0" w:firstLineChars="0"/>
              <w:jc w:val="center"/>
              <w:rPr>
                <w:rFonts w:cs="Times New Roman"/>
                <w:kern w:val="0"/>
                <w:szCs w:val="21"/>
              </w:rPr>
            </w:pPr>
            <w:r>
              <w:rPr>
                <w:rFonts w:cs="Times New Roman"/>
                <w:szCs w:val="21"/>
              </w:rPr>
              <w:t>规划情况</w:t>
            </w:r>
          </w:p>
        </w:tc>
        <w:tc>
          <w:tcPr>
            <w:tcW w:w="7018" w:type="dxa"/>
            <w:gridSpan w:val="4"/>
            <w:vAlign w:val="center"/>
          </w:tcPr>
          <w:p>
            <w:pPr>
              <w:autoSpaceDE w:val="0"/>
              <w:autoSpaceDN w:val="0"/>
              <w:adjustRightInd w:val="0"/>
              <w:snapToGrid w:val="0"/>
              <w:spacing w:line="240" w:lineRule="auto"/>
              <w:ind w:firstLine="0" w:firstLineChars="0"/>
            </w:pPr>
            <w:r>
              <w:rPr>
                <w:rFonts w:hint="eastAsia"/>
                <w:b/>
                <w:bCs/>
              </w:rPr>
              <w:t>规划名称</w:t>
            </w:r>
            <w:r>
              <w:rPr>
                <w:rFonts w:hint="eastAsia"/>
              </w:rPr>
              <w:t>：《尧都高新技术产业开发区总体规划（2020-2035）》；</w:t>
            </w:r>
          </w:p>
          <w:p>
            <w:pPr>
              <w:autoSpaceDE w:val="0"/>
              <w:autoSpaceDN w:val="0"/>
              <w:adjustRightInd w:val="0"/>
              <w:snapToGrid w:val="0"/>
              <w:spacing w:line="240" w:lineRule="auto"/>
              <w:ind w:firstLine="0" w:firstLineChars="0"/>
              <w:rPr>
                <w:kern w:val="0"/>
                <w:szCs w:val="21"/>
              </w:rPr>
            </w:pPr>
            <w:r>
              <w:rPr>
                <w:rFonts w:hint="eastAsia"/>
                <w:b/>
                <w:bCs/>
                <w:kern w:val="0"/>
                <w:szCs w:val="21"/>
              </w:rPr>
              <w:t>审批机关</w:t>
            </w:r>
            <w:r>
              <w:rPr>
                <w:rFonts w:hint="eastAsia"/>
                <w:kern w:val="0"/>
                <w:szCs w:val="21"/>
              </w:rPr>
              <w:t>：山西人民政府；</w:t>
            </w:r>
          </w:p>
          <w:p>
            <w:pPr>
              <w:pStyle w:val="42"/>
              <w:spacing w:line="240" w:lineRule="auto"/>
              <w:ind w:firstLine="0" w:firstLineChars="0"/>
              <w:rPr>
                <w:color w:val="auto"/>
              </w:rPr>
            </w:pPr>
            <w:r>
              <w:rPr>
                <w:rFonts w:hint="eastAsia"/>
                <w:b/>
                <w:bCs/>
                <w:color w:val="auto"/>
                <w:kern w:val="0"/>
                <w:szCs w:val="21"/>
              </w:rPr>
              <w:t>审批文件名称及文号</w:t>
            </w:r>
            <w:r>
              <w:rPr>
                <w:rFonts w:hint="eastAsia"/>
                <w:color w:val="auto"/>
                <w:kern w:val="0"/>
                <w:szCs w:val="21"/>
              </w:rPr>
              <w:t>：2019年11月12日，山西省人民政府以《山西省人民政府关于同意设立尧都高新技术产业开发区的批复》（晋政函〔2019〕112号）。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1867" w:hRule="atLeast"/>
          <w:jc w:val="center"/>
        </w:trPr>
        <w:tc>
          <w:tcPr>
            <w:tcW w:w="1852" w:type="dxa"/>
            <w:gridSpan w:val="2"/>
            <w:vAlign w:val="center"/>
          </w:tcPr>
          <w:p>
            <w:pPr>
              <w:adjustRightInd w:val="0"/>
              <w:snapToGrid w:val="0"/>
              <w:spacing w:line="240" w:lineRule="auto"/>
              <w:ind w:firstLine="0" w:firstLineChars="0"/>
              <w:jc w:val="center"/>
              <w:rPr>
                <w:rFonts w:cs="Times New Roman"/>
                <w:szCs w:val="21"/>
              </w:rPr>
            </w:pPr>
            <w:r>
              <w:rPr>
                <w:rFonts w:cs="Times New Roman"/>
                <w:szCs w:val="21"/>
              </w:rPr>
              <w:t>规划环境影响</w:t>
            </w:r>
          </w:p>
          <w:p>
            <w:pPr>
              <w:adjustRightInd w:val="0"/>
              <w:snapToGrid w:val="0"/>
              <w:spacing w:line="240" w:lineRule="auto"/>
              <w:ind w:firstLine="0" w:firstLineChars="0"/>
              <w:jc w:val="center"/>
              <w:rPr>
                <w:rFonts w:cs="Times New Roman"/>
                <w:kern w:val="0"/>
                <w:szCs w:val="21"/>
              </w:rPr>
            </w:pPr>
            <w:r>
              <w:rPr>
                <w:rFonts w:cs="Times New Roman"/>
                <w:szCs w:val="21"/>
              </w:rPr>
              <w:t>评价情况</w:t>
            </w:r>
          </w:p>
        </w:tc>
        <w:tc>
          <w:tcPr>
            <w:tcW w:w="7018" w:type="dxa"/>
            <w:gridSpan w:val="4"/>
            <w:vAlign w:val="center"/>
          </w:tcPr>
          <w:p>
            <w:pPr>
              <w:autoSpaceDE w:val="0"/>
              <w:autoSpaceDN w:val="0"/>
              <w:adjustRightInd w:val="0"/>
              <w:snapToGrid w:val="0"/>
              <w:spacing w:line="240" w:lineRule="auto"/>
              <w:ind w:firstLine="0" w:firstLineChars="0"/>
            </w:pPr>
            <w:r>
              <w:rPr>
                <w:b/>
                <w:bCs/>
                <w:kern w:val="0"/>
                <w:szCs w:val="21"/>
              </w:rPr>
              <w:t>规划环境影响评价文件名称：</w:t>
            </w:r>
            <w:r>
              <w:rPr>
                <w:rFonts w:hint="eastAsia"/>
              </w:rPr>
              <w:t>《尧都高新技术产业开发区总体规划（2020-2035）环境影响报告书》；</w:t>
            </w:r>
          </w:p>
          <w:p>
            <w:pPr>
              <w:autoSpaceDE w:val="0"/>
              <w:autoSpaceDN w:val="0"/>
              <w:adjustRightInd w:val="0"/>
              <w:snapToGrid w:val="0"/>
              <w:spacing w:line="240" w:lineRule="auto"/>
              <w:ind w:firstLine="0" w:firstLineChars="0"/>
              <w:rPr>
                <w:kern w:val="0"/>
                <w:szCs w:val="21"/>
              </w:rPr>
            </w:pPr>
            <w:r>
              <w:rPr>
                <w:b/>
                <w:bCs/>
                <w:kern w:val="0"/>
                <w:szCs w:val="21"/>
              </w:rPr>
              <w:t>审查机关：</w:t>
            </w:r>
            <w:r>
              <w:rPr>
                <w:kern w:val="0"/>
                <w:szCs w:val="21"/>
              </w:rPr>
              <w:t>山西省生态环境厅；</w:t>
            </w:r>
          </w:p>
          <w:p>
            <w:pPr>
              <w:autoSpaceDE w:val="0"/>
              <w:autoSpaceDN w:val="0"/>
              <w:adjustRightInd w:val="0"/>
              <w:snapToGrid w:val="0"/>
              <w:spacing w:line="240" w:lineRule="auto"/>
              <w:ind w:firstLine="0" w:firstLineChars="0"/>
              <w:jc w:val="left"/>
              <w:rPr>
                <w:rFonts w:cs="Times New Roman"/>
                <w:kern w:val="0"/>
                <w:szCs w:val="21"/>
              </w:rPr>
            </w:pPr>
            <w:r>
              <w:rPr>
                <w:b/>
                <w:bCs/>
                <w:kern w:val="0"/>
                <w:szCs w:val="21"/>
              </w:rPr>
              <w:t>审查文件名称及文号：</w:t>
            </w:r>
            <w:r>
              <w:rPr>
                <w:kern w:val="0"/>
                <w:szCs w:val="21"/>
              </w:rPr>
              <w:t>山西省生态环境厅关于《</w:t>
            </w:r>
            <w:r>
              <w:rPr>
                <w:rFonts w:hint="eastAsia"/>
                <w:kern w:val="0"/>
                <w:szCs w:val="21"/>
              </w:rPr>
              <w:t>尧都高新技术产业开发区总体规划（2020-2035）环境影响报告书》</w:t>
            </w:r>
            <w:r>
              <w:rPr>
                <w:kern w:val="0"/>
                <w:szCs w:val="21"/>
              </w:rPr>
              <w:t>》的审查意见（晋环函</w:t>
            </w:r>
            <w:r>
              <w:rPr>
                <w:rFonts w:hint="eastAsia"/>
                <w:kern w:val="0"/>
                <w:szCs w:val="21"/>
              </w:rPr>
              <w:t>〔</w:t>
            </w:r>
            <w:r>
              <w:rPr>
                <w:kern w:val="0"/>
                <w:szCs w:val="21"/>
              </w:rPr>
              <w:t>202</w:t>
            </w:r>
            <w:r>
              <w:rPr>
                <w:rFonts w:hint="eastAsia"/>
                <w:kern w:val="0"/>
                <w:szCs w:val="21"/>
              </w:rPr>
              <w:t>2〕95</w:t>
            </w:r>
            <w:r>
              <w:rPr>
                <w:kern w:val="0"/>
                <w:szCs w:val="21"/>
              </w:rPr>
              <w:t>号）</w:t>
            </w:r>
            <w:r>
              <w:rPr>
                <w:rFonts w:hint="eastAsia"/>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92" w:type="dxa"/>
          <w:trHeight w:val="1090" w:hRule="atLeast"/>
          <w:jc w:val="center"/>
        </w:trPr>
        <w:tc>
          <w:tcPr>
            <w:tcW w:w="575" w:type="dxa"/>
            <w:gridSpan w:val="2"/>
            <w:vAlign w:val="center"/>
          </w:tcPr>
          <w:p>
            <w:pPr>
              <w:autoSpaceDE w:val="0"/>
              <w:autoSpaceDN w:val="0"/>
              <w:adjustRightInd w:val="0"/>
              <w:snapToGrid w:val="0"/>
              <w:spacing w:line="240" w:lineRule="auto"/>
              <w:ind w:firstLine="0" w:firstLineChars="0"/>
              <w:jc w:val="center"/>
              <w:rPr>
                <w:rFonts w:cs="Times New Roman"/>
                <w:kern w:val="0"/>
                <w:szCs w:val="21"/>
              </w:rPr>
            </w:pPr>
            <w:r>
              <w:rPr>
                <w:rFonts w:cs="Times New Roman"/>
                <w:kern w:val="0"/>
                <w:szCs w:val="21"/>
              </w:rPr>
              <w:t>规划及规划环境影响评价符合性分析</w:t>
            </w:r>
          </w:p>
        </w:tc>
        <w:tc>
          <w:tcPr>
            <w:tcW w:w="8295" w:type="dxa"/>
            <w:gridSpan w:val="4"/>
            <w:vAlign w:val="center"/>
          </w:tcPr>
          <w:p>
            <w:pPr>
              <w:ind w:firstLine="482"/>
              <w:rPr>
                <w:b/>
                <w:bCs/>
              </w:rPr>
            </w:pPr>
            <w:r>
              <w:rPr>
                <w:rFonts w:hint="eastAsia"/>
                <w:b/>
                <w:bCs/>
              </w:rPr>
              <w:t>1.1项目与《尧都高新技术产业开发区总体规划（2020-2035）》的符合性分析</w:t>
            </w:r>
          </w:p>
          <w:p>
            <w:pPr>
              <w:ind w:firstLine="480"/>
            </w:pPr>
            <w:r>
              <w:rPr>
                <w:rFonts w:hint="eastAsia"/>
              </w:rPr>
              <w:t>（1）尧都高新技术产业开发区</w:t>
            </w:r>
          </w:p>
          <w:p>
            <w:pPr>
              <w:ind w:firstLine="480"/>
            </w:pPr>
            <w:r>
              <w:t>根据山西省自然资源厅晋自然资函〔2020〕1019号文，尧都高新技术产业开发区实际规划面积19.38平方公里，由</w:t>
            </w:r>
            <w:r>
              <w:rPr>
                <w:rFonts w:hint="eastAsia"/>
              </w:rPr>
              <w:t>“</w:t>
            </w:r>
            <w:r>
              <w:t>一区三园</w:t>
            </w:r>
            <w:r>
              <w:rPr>
                <w:rFonts w:hint="eastAsia"/>
              </w:rPr>
              <w:t>”</w:t>
            </w:r>
            <w:r>
              <w:t>组成，分别为：尧都云商产业园、贾得新兴产业园（包含两个区块）、大阳高端装备制造产业园。</w:t>
            </w:r>
          </w:p>
          <w:p>
            <w:pPr>
              <w:ind w:firstLine="482"/>
              <w:rPr>
                <w:b/>
                <w:bCs/>
              </w:rPr>
            </w:pPr>
            <w:r>
              <w:rPr>
                <w:rFonts w:hint="eastAsia"/>
                <w:b/>
                <w:bCs/>
              </w:rPr>
              <w:t>本项目位于临汾市尧都区大阳镇王雅村西1.1km处，租用山西盛泰源特种材料科技有限公司</w:t>
            </w:r>
            <w:r>
              <w:rPr>
                <w:rFonts w:hint="eastAsia"/>
                <w:b/>
                <w:bCs/>
                <w:szCs w:val="24"/>
              </w:rPr>
              <w:t>（下文以盛泰源简称）</w:t>
            </w:r>
            <w:r>
              <w:rPr>
                <w:rFonts w:hint="eastAsia"/>
                <w:b/>
                <w:bCs/>
              </w:rPr>
              <w:t>50亩（3</w:t>
            </w:r>
            <w:r>
              <w:rPr>
                <w:b/>
                <w:bCs/>
              </w:rPr>
              <w:t>3333.3m</w:t>
            </w:r>
            <w:r>
              <w:rPr>
                <w:b/>
                <w:bCs/>
                <w:vertAlign w:val="superscript"/>
              </w:rPr>
              <w:t>2</w:t>
            </w:r>
            <w:r>
              <w:rPr>
                <w:rFonts w:hint="eastAsia"/>
                <w:b/>
                <w:bCs/>
              </w:rPr>
              <w:t>）场地，盛泰源则是租用山西东方恒略精密铸造有限公司（</w:t>
            </w:r>
            <w:r>
              <w:rPr>
                <w:rFonts w:hint="eastAsia"/>
                <w:b/>
                <w:bCs/>
                <w:szCs w:val="24"/>
              </w:rPr>
              <w:t>下文以</w:t>
            </w:r>
            <w:r>
              <w:rPr>
                <w:rFonts w:hint="eastAsia"/>
                <w:b/>
                <w:bCs/>
              </w:rPr>
              <w:t>东方恒略</w:t>
            </w:r>
            <w:r>
              <w:rPr>
                <w:rFonts w:hint="eastAsia"/>
                <w:b/>
                <w:bCs/>
                <w:szCs w:val="24"/>
              </w:rPr>
              <w:t>简称</w:t>
            </w:r>
            <w:r>
              <w:rPr>
                <w:rFonts w:hint="eastAsia"/>
                <w:b/>
                <w:bCs/>
              </w:rPr>
              <w:t>）</w:t>
            </w:r>
            <w:r>
              <w:rPr>
                <w:rFonts w:hint="eastAsia"/>
                <w:b/>
                <w:bCs/>
                <w:szCs w:val="24"/>
              </w:rPr>
              <w:t>西侧164亩</w:t>
            </w:r>
            <w:r>
              <w:rPr>
                <w:rFonts w:hint="eastAsia"/>
                <w:b/>
                <w:bCs/>
              </w:rPr>
              <w:t>场地。本项目位于大阳高端装备制造产业园。</w:t>
            </w:r>
          </w:p>
          <w:p>
            <w:pPr>
              <w:ind w:firstLine="480"/>
            </w:pPr>
            <w:r>
              <w:rPr>
                <w:rFonts w:hint="eastAsia"/>
              </w:rPr>
              <w:t>（2）</w:t>
            </w:r>
            <w:r>
              <w:t>大阳高端装备制造产业园</w:t>
            </w:r>
          </w:p>
          <w:p>
            <w:pPr>
              <w:ind w:firstLine="480"/>
            </w:pPr>
            <w:r>
              <w:rPr>
                <w:rFonts w:hint="eastAsia"/>
              </w:rPr>
              <w:t>本项目位于大阳高端装备制造产业园。</w:t>
            </w:r>
            <w:r>
              <w:t>大阳高端装备制造产业园面积1.7平方公里，四至范围为：东至王雅村村庄西界，南至靳里沟村村庄北界，西至靳里村村庄东界，北至山西华德冶铸有限公司北侧。</w:t>
            </w:r>
          </w:p>
          <w:p>
            <w:pPr>
              <w:ind w:firstLine="480"/>
            </w:pPr>
            <w:r>
              <w:rPr>
                <w:rFonts w:hint="eastAsia"/>
              </w:rPr>
              <w:t>本次评价从园区产业定位、产业布局、空间结构和用地布局等方面分析本项目与大阳高端装备制造产业园的符合性，详见表1-1。</w:t>
            </w:r>
          </w:p>
          <w:p>
            <w:pPr>
              <w:pStyle w:val="42"/>
              <w:spacing w:line="240" w:lineRule="auto"/>
              <w:ind w:firstLine="0" w:firstLineChars="0"/>
              <w:jc w:val="center"/>
              <w:rPr>
                <w:b/>
                <w:bCs/>
                <w:color w:val="auto"/>
                <w:sz w:val="21"/>
              </w:rPr>
            </w:pPr>
            <w:r>
              <w:rPr>
                <w:rFonts w:hint="eastAsia"/>
                <w:b/>
                <w:bCs/>
                <w:color w:val="auto"/>
                <w:sz w:val="21"/>
              </w:rPr>
              <w:t>表1-1  本项目与大阳高端装备制造产业园规划的符合性分析</w:t>
            </w:r>
          </w:p>
          <w:tbl>
            <w:tblPr>
              <w:tblStyle w:val="3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9"/>
              <w:gridCol w:w="3896"/>
              <w:gridCol w:w="2535"/>
              <w:gridCol w:w="9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类别</w:t>
                  </w:r>
                </w:p>
              </w:tc>
              <w:tc>
                <w:tcPr>
                  <w:tcW w:w="3896"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规划内容</w:t>
                  </w:r>
                </w:p>
              </w:tc>
              <w:tc>
                <w:tcPr>
                  <w:tcW w:w="2535"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项目情况</w:t>
                  </w:r>
                </w:p>
              </w:tc>
              <w:tc>
                <w:tcPr>
                  <w:tcW w:w="949"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产业定位</w:t>
                  </w:r>
                </w:p>
              </w:tc>
              <w:tc>
                <w:tcPr>
                  <w:tcW w:w="3896" w:type="dxa"/>
                  <w:tcBorders>
                    <w:top w:val="single" w:color="auto" w:sz="12" w:space="0"/>
                    <w:bottom w:val="single" w:color="auto" w:sz="4" w:space="0"/>
                  </w:tcBorders>
                  <w:vAlign w:val="center"/>
                </w:tcPr>
                <w:p>
                  <w:pPr>
                    <w:spacing w:line="240" w:lineRule="auto"/>
                    <w:ind w:firstLine="210" w:firstLineChars="100"/>
                    <w:rPr>
                      <w:b/>
                      <w:bCs/>
                      <w:sz w:val="21"/>
                    </w:rPr>
                  </w:pPr>
                  <w:r>
                    <w:rPr>
                      <w:rFonts w:hint="eastAsia"/>
                      <w:sz w:val="21"/>
                    </w:rPr>
                    <w:t>依托自身发展优势，牢牢抓住发展机遇，充分发挥省级高新技术产业开发区的功能政策优势，尧都高新技术产业开发区未来将建设成为：尧都区深入推进高质量发展的强力引擎；临汾市打造省域副中心城市的战略新支点；山西省资源型经济转型发展和创新驱动发展的标杆示范区。</w:t>
                  </w:r>
                </w:p>
              </w:tc>
              <w:tc>
                <w:tcPr>
                  <w:tcW w:w="2535" w:type="dxa"/>
                  <w:tcBorders>
                    <w:top w:val="single" w:color="auto" w:sz="12" w:space="0"/>
                    <w:bottom w:val="single" w:color="auto" w:sz="4" w:space="0"/>
                  </w:tcBorders>
                  <w:vAlign w:val="center"/>
                </w:tcPr>
                <w:p>
                  <w:pPr>
                    <w:spacing w:line="240" w:lineRule="auto"/>
                    <w:ind w:firstLine="210" w:firstLineChars="100"/>
                    <w:rPr>
                      <w:sz w:val="21"/>
                    </w:rPr>
                  </w:pPr>
                  <w:r>
                    <w:rPr>
                      <w:rFonts w:hint="eastAsia"/>
                      <w:sz w:val="21"/>
                    </w:rPr>
                    <w:t>本项目属于废旧资源回收加工项目。本项目向周边机加工企业购买销子，将其加工处理后外售盛泰源</w:t>
                  </w:r>
                  <w:r>
                    <w:rPr>
                      <w:rFonts w:hint="eastAsia"/>
                      <w:sz w:val="21"/>
                      <w:lang w:val="en-US" w:eastAsia="zh-CN"/>
                    </w:rPr>
                    <w:t>和园区其他铸造公司</w:t>
                  </w:r>
                  <w:r>
                    <w:rPr>
                      <w:rFonts w:hint="eastAsia"/>
                      <w:sz w:val="21"/>
                    </w:rPr>
                    <w:t>用于生产合金材料锻件。本项目的建成有利于提高</w:t>
                  </w:r>
                  <w:r>
                    <w:rPr>
                      <w:rFonts w:hint="eastAsia"/>
                      <w:sz w:val="21"/>
                      <w:lang w:val="en-US" w:eastAsia="zh-CN"/>
                    </w:rPr>
                    <w:t>废金属</w:t>
                  </w:r>
                  <w:r>
                    <w:rPr>
                      <w:rFonts w:hint="eastAsia"/>
                      <w:sz w:val="21"/>
                    </w:rPr>
                    <w:t>的利用率，与盛泰源形成上下游产业链推动开发区的发展。</w:t>
                  </w:r>
                </w:p>
              </w:tc>
              <w:tc>
                <w:tcPr>
                  <w:tcW w:w="949" w:type="dxa"/>
                  <w:tcBorders>
                    <w:top w:val="single" w:color="auto" w:sz="12" w:space="0"/>
                    <w:bottom w:val="single" w:color="auto" w:sz="4" w:space="0"/>
                  </w:tcBorders>
                  <w:vAlign w:val="center"/>
                </w:tcPr>
                <w:p>
                  <w:pPr>
                    <w:spacing w:line="240" w:lineRule="auto"/>
                    <w:ind w:firstLine="0" w:firstLineChars="0"/>
                    <w:jc w:val="center"/>
                    <w:rPr>
                      <w:b/>
                      <w:bCs/>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产业布局</w:t>
                  </w:r>
                </w:p>
              </w:tc>
              <w:tc>
                <w:tcPr>
                  <w:tcW w:w="3896" w:type="dxa"/>
                  <w:tcBorders>
                    <w:top w:val="single" w:color="auto" w:sz="4" w:space="0"/>
                    <w:bottom w:val="single" w:color="auto" w:sz="4" w:space="0"/>
                  </w:tcBorders>
                  <w:vAlign w:val="center"/>
                </w:tcPr>
                <w:p>
                  <w:pPr>
                    <w:spacing w:line="240" w:lineRule="auto"/>
                    <w:ind w:firstLine="210" w:firstLineChars="100"/>
                    <w:rPr>
                      <w:sz w:val="21"/>
                    </w:rPr>
                  </w:pPr>
                  <w:r>
                    <w:rPr>
                      <w:rFonts w:hint="eastAsia"/>
                      <w:sz w:val="21"/>
                    </w:rPr>
                    <w:t>构建出“4+1”的目标产业体系。即高端装备制造、电子信息、生物健康、新材料以及现代服务业。</w:t>
                  </w:r>
                </w:p>
                <w:p>
                  <w:pPr>
                    <w:spacing w:line="240" w:lineRule="auto"/>
                    <w:ind w:firstLine="210" w:firstLineChars="100"/>
                    <w:rPr>
                      <w:sz w:val="21"/>
                    </w:rPr>
                  </w:pPr>
                  <w:r>
                    <w:rPr>
                      <w:rFonts w:hint="eastAsia"/>
                      <w:sz w:val="21"/>
                    </w:rPr>
                    <w:t>尧都高新区在装备制造领域的重点发展方向：</w:t>
                  </w:r>
                </w:p>
                <w:p>
                  <w:pPr>
                    <w:spacing w:line="240" w:lineRule="auto"/>
                    <w:ind w:firstLine="210" w:firstLineChars="100"/>
                    <w:rPr>
                      <w:sz w:val="21"/>
                    </w:rPr>
                  </w:pPr>
                  <w:r>
                    <w:rPr>
                      <w:rFonts w:hint="eastAsia"/>
                      <w:sz w:val="21"/>
                    </w:rPr>
                    <w:t>①智能制造装备、②智能电网装备、③节能环保装备、④先进交通通备。</w:t>
                  </w:r>
                </w:p>
                <w:p>
                  <w:pPr>
                    <w:spacing w:line="240" w:lineRule="auto"/>
                    <w:ind w:firstLine="210" w:firstLineChars="100"/>
                  </w:pPr>
                  <w:r>
                    <w:rPr>
                      <w:rFonts w:hint="eastAsia"/>
                      <w:sz w:val="21"/>
                    </w:rPr>
                    <w:t>大阳高端装备制造产业园高新区近期拟建项目中有：山西盛泰源特种材料科技有限公司8万吨合金材料锻造加工项目。</w:t>
                  </w:r>
                </w:p>
              </w:tc>
              <w:tc>
                <w:tcPr>
                  <w:tcW w:w="2535" w:type="dxa"/>
                  <w:tcBorders>
                    <w:top w:val="single" w:color="auto" w:sz="4" w:space="0"/>
                    <w:bottom w:val="single" w:color="auto" w:sz="4" w:space="0"/>
                  </w:tcBorders>
                  <w:vAlign w:val="center"/>
                </w:tcPr>
                <w:p>
                  <w:pPr>
                    <w:spacing w:line="240" w:lineRule="auto"/>
                    <w:ind w:firstLine="210" w:firstLineChars="100"/>
                    <w:rPr>
                      <w:sz w:val="21"/>
                    </w:rPr>
                  </w:pPr>
                  <w:r>
                    <w:rPr>
                      <w:rFonts w:hint="eastAsia"/>
                      <w:sz w:val="21"/>
                    </w:rPr>
                    <w:t>本项目将成品特种钢外售盛泰源</w:t>
                  </w:r>
                  <w:r>
                    <w:rPr>
                      <w:rFonts w:hint="eastAsia"/>
                      <w:sz w:val="21"/>
                      <w:lang w:val="en-US" w:eastAsia="zh-CN"/>
                    </w:rPr>
                    <w:t>和园区其他铸造公司</w:t>
                  </w:r>
                  <w:r>
                    <w:rPr>
                      <w:rFonts w:hint="eastAsia"/>
                      <w:sz w:val="21"/>
                    </w:rPr>
                    <w:t>用于生产合金材料锻件，与盛泰源形成上下游产业链推动高新开发区的发展。</w:t>
                  </w:r>
                </w:p>
              </w:tc>
              <w:tc>
                <w:tcPr>
                  <w:tcW w:w="949" w:type="dxa"/>
                  <w:tcBorders>
                    <w:top w:val="single" w:color="auto" w:sz="4" w:space="0"/>
                    <w:bottom w:val="single" w:color="auto" w:sz="4" w:space="0"/>
                  </w:tcBorders>
                  <w:vAlign w:val="center"/>
                </w:tcPr>
                <w:p>
                  <w:pPr>
                    <w:spacing w:line="240" w:lineRule="auto"/>
                    <w:ind w:firstLine="0" w:firstLineChars="0"/>
                    <w:jc w:val="center"/>
                    <w:rPr>
                      <w:b/>
                      <w:bCs/>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空间</w:t>
                  </w:r>
                </w:p>
                <w:p>
                  <w:pPr>
                    <w:spacing w:line="240" w:lineRule="auto"/>
                    <w:ind w:firstLine="0" w:firstLineChars="0"/>
                    <w:jc w:val="center"/>
                    <w:rPr>
                      <w:sz w:val="21"/>
                    </w:rPr>
                  </w:pPr>
                  <w:r>
                    <w:rPr>
                      <w:rFonts w:hint="eastAsia"/>
                      <w:sz w:val="21"/>
                    </w:rPr>
                    <w:t>结构</w:t>
                  </w:r>
                </w:p>
              </w:tc>
              <w:tc>
                <w:tcPr>
                  <w:tcW w:w="3896" w:type="dxa"/>
                  <w:tcBorders>
                    <w:top w:val="single" w:color="auto" w:sz="4" w:space="0"/>
                    <w:bottom w:val="single" w:color="auto" w:sz="4" w:space="0"/>
                  </w:tcBorders>
                  <w:vAlign w:val="center"/>
                </w:tcPr>
                <w:p>
                  <w:pPr>
                    <w:spacing w:line="240" w:lineRule="auto"/>
                    <w:ind w:firstLine="210" w:firstLineChars="100"/>
                    <w:rPr>
                      <w:sz w:val="21"/>
                    </w:rPr>
                  </w:pPr>
                  <w:r>
                    <w:rPr>
                      <w:rFonts w:hint="eastAsia"/>
                      <w:sz w:val="21"/>
                    </w:rPr>
                    <w:t>构建“一廊、一轴、多组团”的空间结构。</w:t>
                  </w:r>
                </w:p>
                <w:p>
                  <w:pPr>
                    <w:spacing w:line="240" w:lineRule="auto"/>
                    <w:ind w:firstLine="210" w:firstLineChars="100"/>
                    <w:rPr>
                      <w:sz w:val="21"/>
                    </w:rPr>
                  </w:pPr>
                  <w:r>
                    <w:rPr>
                      <w:rFonts w:hint="eastAsia"/>
                      <w:sz w:val="21"/>
                    </w:rPr>
                    <w:t>一廊：S230省道发展廊道，是园区对外联系的交通主轴。</w:t>
                  </w:r>
                </w:p>
                <w:p>
                  <w:pPr>
                    <w:spacing w:line="240" w:lineRule="auto"/>
                    <w:ind w:firstLine="210" w:firstLineChars="100"/>
                    <w:rPr>
                      <w:sz w:val="21"/>
                    </w:rPr>
                  </w:pPr>
                  <w:r>
                    <w:rPr>
                      <w:rFonts w:hint="eastAsia"/>
                      <w:sz w:val="21"/>
                    </w:rPr>
                    <w:t>一轴：园区南北向发展轴，与S230省道纵横形成园区主骨架。</w:t>
                  </w:r>
                </w:p>
                <w:p>
                  <w:pPr>
                    <w:spacing w:line="240" w:lineRule="auto"/>
                    <w:ind w:firstLine="210" w:firstLineChars="100"/>
                    <w:rPr>
                      <w:sz w:val="21"/>
                    </w:rPr>
                  </w:pPr>
                  <w:r>
                    <w:rPr>
                      <w:rFonts w:hint="eastAsia"/>
                      <w:sz w:val="21"/>
                    </w:rPr>
                    <w:t>多组团：高端精密铸造产业组团、新能源汽车零部件产业组团、工程机械产业组团、工业物流产业组团、综合服务组团。</w:t>
                  </w:r>
                </w:p>
              </w:tc>
              <w:tc>
                <w:tcPr>
                  <w:tcW w:w="2535" w:type="dxa"/>
                  <w:tcBorders>
                    <w:top w:val="single" w:color="auto" w:sz="4" w:space="0"/>
                    <w:bottom w:val="single" w:color="auto" w:sz="4" w:space="0"/>
                  </w:tcBorders>
                  <w:vAlign w:val="center"/>
                </w:tcPr>
                <w:p>
                  <w:pPr>
                    <w:spacing w:line="240" w:lineRule="auto"/>
                    <w:ind w:firstLine="210" w:firstLineChars="100"/>
                    <w:rPr>
                      <w:sz w:val="21"/>
                    </w:rPr>
                  </w:pPr>
                  <w:r>
                    <w:rPr>
                      <w:rFonts w:hint="eastAsia"/>
                      <w:sz w:val="21"/>
                    </w:rPr>
                    <w:t>本项目与盛泰源形成特种金属铸件生产上下游产业，符合大阳高端装备制造产业园空间结构布局-高端精密铸造产业组团的需求。</w:t>
                  </w:r>
                </w:p>
              </w:tc>
              <w:tc>
                <w:tcPr>
                  <w:tcW w:w="949"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op w:val="single" w:color="auto" w:sz="4" w:space="0"/>
                    <w:bottom w:val="single" w:color="auto" w:sz="12" w:space="0"/>
                  </w:tcBorders>
                  <w:vAlign w:val="center"/>
                </w:tcPr>
                <w:p>
                  <w:pPr>
                    <w:spacing w:line="240" w:lineRule="auto"/>
                    <w:ind w:firstLine="0" w:firstLineChars="0"/>
                    <w:jc w:val="center"/>
                    <w:rPr>
                      <w:sz w:val="21"/>
                    </w:rPr>
                  </w:pPr>
                  <w:r>
                    <w:rPr>
                      <w:rFonts w:hint="eastAsia"/>
                      <w:sz w:val="21"/>
                    </w:rPr>
                    <w:t>用地</w:t>
                  </w:r>
                </w:p>
                <w:p>
                  <w:pPr>
                    <w:spacing w:line="240" w:lineRule="auto"/>
                    <w:ind w:firstLine="0" w:firstLineChars="0"/>
                    <w:jc w:val="center"/>
                    <w:rPr>
                      <w:sz w:val="21"/>
                    </w:rPr>
                  </w:pPr>
                  <w:r>
                    <w:rPr>
                      <w:rFonts w:hint="eastAsia"/>
                      <w:sz w:val="21"/>
                    </w:rPr>
                    <w:t>布局</w:t>
                  </w:r>
                </w:p>
              </w:tc>
              <w:tc>
                <w:tcPr>
                  <w:tcW w:w="3896" w:type="dxa"/>
                  <w:tcBorders>
                    <w:top w:val="single" w:color="auto" w:sz="4" w:space="0"/>
                    <w:bottom w:val="single" w:color="auto" w:sz="12" w:space="0"/>
                  </w:tcBorders>
                  <w:vAlign w:val="center"/>
                </w:tcPr>
                <w:p>
                  <w:pPr>
                    <w:spacing w:line="240" w:lineRule="auto"/>
                    <w:ind w:firstLine="210" w:firstLineChars="100"/>
                    <w:rPr>
                      <w:sz w:val="21"/>
                    </w:rPr>
                  </w:pPr>
                  <w:r>
                    <w:rPr>
                      <w:rFonts w:hint="eastAsia"/>
                      <w:sz w:val="21"/>
                    </w:rPr>
                    <w:t>园区用地主要包括工业用地、物流仓储用地、商业服务业设施用地、发展备用地和综合服务用地。</w:t>
                  </w:r>
                </w:p>
                <w:p>
                  <w:pPr>
                    <w:spacing w:line="240" w:lineRule="auto"/>
                    <w:ind w:firstLine="210" w:firstLineChars="100"/>
                    <w:rPr>
                      <w:sz w:val="21"/>
                    </w:rPr>
                  </w:pPr>
                  <w:r>
                    <w:rPr>
                      <w:rFonts w:hint="eastAsia"/>
                      <w:sz w:val="21"/>
                    </w:rPr>
                    <w:t>工业用地：结合产业发展规划，布局高端精密铸造、新能源汽车零部件、工程机械等产业组团，规划工业用地114.40h</w:t>
                  </w:r>
                  <w:r>
                    <w:rPr>
                      <w:sz w:val="21"/>
                    </w:rPr>
                    <w:t>m</w:t>
                  </w:r>
                  <w:r>
                    <w:rPr>
                      <w:sz w:val="21"/>
                      <w:vertAlign w:val="superscript"/>
                    </w:rPr>
                    <w:t>2</w:t>
                  </w:r>
                  <w:r>
                    <w:rPr>
                      <w:rFonts w:hint="eastAsia"/>
                      <w:sz w:val="21"/>
                    </w:rPr>
                    <w:t>，占园区建设用地的66.87%。</w:t>
                  </w:r>
                </w:p>
              </w:tc>
              <w:tc>
                <w:tcPr>
                  <w:tcW w:w="2535" w:type="dxa"/>
                  <w:tcBorders>
                    <w:top w:val="single" w:color="auto" w:sz="4" w:space="0"/>
                    <w:bottom w:val="single" w:color="auto" w:sz="12" w:space="0"/>
                  </w:tcBorders>
                  <w:vAlign w:val="center"/>
                </w:tcPr>
                <w:p>
                  <w:pPr>
                    <w:pStyle w:val="18"/>
                    <w:spacing w:line="240" w:lineRule="auto"/>
                    <w:ind w:firstLine="210" w:firstLineChars="100"/>
                    <w:jc w:val="both"/>
                    <w:rPr>
                      <w:sz w:val="21"/>
                    </w:rPr>
                  </w:pPr>
                  <w:r>
                    <w:rPr>
                      <w:rFonts w:hint="eastAsia"/>
                      <w:sz w:val="21"/>
                    </w:rPr>
                    <w:t>本项目租用盛泰源50亩场地，占地性质为工业用地。</w:t>
                  </w:r>
                </w:p>
              </w:tc>
              <w:tc>
                <w:tcPr>
                  <w:tcW w:w="949" w:type="dxa"/>
                  <w:tcBorders>
                    <w:top w:val="single" w:color="auto" w:sz="4" w:space="0"/>
                    <w:bottom w:val="single" w:color="auto" w:sz="12" w:space="0"/>
                  </w:tcBorders>
                  <w:vAlign w:val="center"/>
                </w:tcPr>
                <w:p>
                  <w:pPr>
                    <w:spacing w:line="240" w:lineRule="auto"/>
                    <w:ind w:firstLine="0" w:firstLineChars="0"/>
                    <w:jc w:val="center"/>
                    <w:rPr>
                      <w:sz w:val="21"/>
                    </w:rPr>
                  </w:pPr>
                  <w:r>
                    <w:rPr>
                      <w:rFonts w:hint="eastAsia"/>
                      <w:sz w:val="21"/>
                    </w:rPr>
                    <w:t>符合</w:t>
                  </w:r>
                </w:p>
              </w:tc>
            </w:tr>
          </w:tbl>
          <w:p>
            <w:pPr>
              <w:ind w:firstLine="480"/>
            </w:pPr>
            <w:r>
              <w:rPr>
                <w:rFonts w:hint="eastAsia"/>
              </w:rPr>
              <w:t>根据表1-1分析，本项目的建设符合大阳高端装备制造产业园的规划。</w:t>
            </w:r>
          </w:p>
          <w:p>
            <w:pPr>
              <w:ind w:firstLine="480"/>
            </w:pPr>
            <w:r>
              <w:rPr>
                <w:rFonts w:hint="eastAsia"/>
              </w:rPr>
              <w:t>（3）项目与大阳高端装备制造产业园配套设施的建设情况保证性分析</w:t>
            </w:r>
          </w:p>
          <w:p>
            <w:pPr>
              <w:ind w:firstLine="480"/>
            </w:pPr>
            <w:r>
              <w:rPr>
                <w:rFonts w:hint="eastAsia"/>
              </w:rPr>
              <w:t>根据《尧都高新技术产业开发区总体规划（2020-2035）》，本次评价将从大阳高端装备制造产业园的基础设施规划、现基础设施等方面分析本项目基础设施保证性，详见表1-2。</w:t>
            </w:r>
          </w:p>
          <w:p>
            <w:pPr>
              <w:pStyle w:val="18"/>
              <w:spacing w:line="240" w:lineRule="auto"/>
              <w:ind w:firstLine="0" w:firstLineChars="0"/>
              <w:jc w:val="center"/>
              <w:rPr>
                <w:b/>
                <w:sz w:val="21"/>
              </w:rPr>
            </w:pPr>
            <w:r>
              <w:rPr>
                <w:b/>
                <w:sz w:val="21"/>
              </w:rPr>
              <w:t xml:space="preserve">表1-2  </w:t>
            </w:r>
            <w:r>
              <w:rPr>
                <w:rFonts w:hint="eastAsia"/>
                <w:b/>
                <w:sz w:val="21"/>
              </w:rPr>
              <w:t>大阳高端装备制造产业园的基础设施规划、</w:t>
            </w:r>
          </w:p>
          <w:p>
            <w:pPr>
              <w:pStyle w:val="18"/>
              <w:spacing w:line="240" w:lineRule="auto"/>
              <w:ind w:firstLine="0" w:firstLineChars="0"/>
              <w:jc w:val="center"/>
              <w:rPr>
                <w:b/>
                <w:sz w:val="21"/>
              </w:rPr>
            </w:pPr>
            <w:r>
              <w:rPr>
                <w:rFonts w:hint="eastAsia"/>
                <w:b/>
                <w:sz w:val="21"/>
              </w:rPr>
              <w:t>现基础设施和本项目基础设施保证性分析</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2663"/>
              <w:gridCol w:w="1947"/>
              <w:gridCol w:w="1866"/>
              <w:gridCol w:w="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3" w:type="dxa"/>
                  <w:tcBorders>
                    <w:top w:val="single" w:color="auto" w:sz="12" w:space="0"/>
                    <w:left w:val="nil"/>
                    <w:bottom w:val="single" w:color="auto" w:sz="12" w:space="0"/>
                  </w:tcBorders>
                  <w:vAlign w:val="center"/>
                </w:tcPr>
                <w:p>
                  <w:pPr>
                    <w:spacing w:line="240" w:lineRule="auto"/>
                    <w:ind w:firstLine="0" w:firstLineChars="0"/>
                    <w:jc w:val="center"/>
                    <w:rPr>
                      <w:b/>
                      <w:sz w:val="21"/>
                    </w:rPr>
                  </w:pPr>
                  <w:r>
                    <w:rPr>
                      <w:rFonts w:hint="eastAsia"/>
                      <w:b/>
                      <w:sz w:val="21"/>
                    </w:rPr>
                    <w:t>工程类别</w:t>
                  </w:r>
                </w:p>
              </w:tc>
              <w:tc>
                <w:tcPr>
                  <w:tcW w:w="2651" w:type="dxa"/>
                  <w:tcBorders>
                    <w:top w:val="single" w:color="auto" w:sz="12" w:space="0"/>
                    <w:bottom w:val="single" w:color="auto" w:sz="12" w:space="0"/>
                  </w:tcBorders>
                  <w:vAlign w:val="center"/>
                </w:tcPr>
                <w:p>
                  <w:pPr>
                    <w:spacing w:line="240" w:lineRule="auto"/>
                    <w:ind w:firstLine="0" w:firstLineChars="0"/>
                    <w:jc w:val="center"/>
                    <w:rPr>
                      <w:b/>
                      <w:sz w:val="21"/>
                    </w:rPr>
                  </w:pPr>
                  <w:r>
                    <w:rPr>
                      <w:rFonts w:hint="eastAsia"/>
                      <w:b/>
                      <w:sz w:val="21"/>
                    </w:rPr>
                    <w:t>规划基础设施</w:t>
                  </w:r>
                </w:p>
              </w:tc>
              <w:tc>
                <w:tcPr>
                  <w:tcW w:w="1938" w:type="dxa"/>
                  <w:tcBorders>
                    <w:top w:val="single" w:color="auto" w:sz="12" w:space="0"/>
                    <w:bottom w:val="single" w:color="auto" w:sz="12" w:space="0"/>
                  </w:tcBorders>
                  <w:vAlign w:val="center"/>
                </w:tcPr>
                <w:p>
                  <w:pPr>
                    <w:spacing w:line="240" w:lineRule="auto"/>
                    <w:ind w:firstLine="0" w:firstLineChars="0"/>
                    <w:jc w:val="center"/>
                    <w:rPr>
                      <w:b/>
                      <w:sz w:val="21"/>
                    </w:rPr>
                  </w:pPr>
                  <w:r>
                    <w:rPr>
                      <w:rFonts w:hint="eastAsia"/>
                      <w:b/>
                      <w:sz w:val="21"/>
                    </w:rPr>
                    <w:t>园区现基础</w:t>
                  </w:r>
                </w:p>
                <w:p>
                  <w:pPr>
                    <w:spacing w:line="240" w:lineRule="auto"/>
                    <w:ind w:firstLine="0" w:firstLineChars="0"/>
                    <w:jc w:val="center"/>
                    <w:rPr>
                      <w:b/>
                      <w:sz w:val="21"/>
                    </w:rPr>
                  </w:pPr>
                  <w:r>
                    <w:rPr>
                      <w:rFonts w:hint="eastAsia"/>
                      <w:b/>
                      <w:sz w:val="21"/>
                    </w:rPr>
                    <w:t>设施情况</w:t>
                  </w:r>
                </w:p>
              </w:tc>
              <w:tc>
                <w:tcPr>
                  <w:tcW w:w="1857" w:type="dxa"/>
                  <w:tcBorders>
                    <w:top w:val="single" w:color="auto" w:sz="12" w:space="0"/>
                    <w:bottom w:val="single" w:color="auto" w:sz="12" w:space="0"/>
                  </w:tcBorders>
                  <w:vAlign w:val="center"/>
                </w:tcPr>
                <w:p>
                  <w:pPr>
                    <w:spacing w:line="240" w:lineRule="auto"/>
                    <w:ind w:firstLine="0" w:firstLineChars="0"/>
                    <w:jc w:val="center"/>
                    <w:rPr>
                      <w:b/>
                      <w:sz w:val="21"/>
                    </w:rPr>
                  </w:pPr>
                  <w:r>
                    <w:rPr>
                      <w:rFonts w:hint="eastAsia"/>
                      <w:b/>
                      <w:sz w:val="21"/>
                    </w:rPr>
                    <w:t>项目基础设</w:t>
                  </w:r>
                </w:p>
                <w:p>
                  <w:pPr>
                    <w:spacing w:line="240" w:lineRule="auto"/>
                    <w:ind w:firstLine="0" w:firstLineChars="0"/>
                    <w:jc w:val="center"/>
                    <w:rPr>
                      <w:b/>
                      <w:sz w:val="21"/>
                    </w:rPr>
                  </w:pPr>
                  <w:r>
                    <w:rPr>
                      <w:rFonts w:hint="eastAsia"/>
                      <w:b/>
                      <w:sz w:val="21"/>
                    </w:rPr>
                    <w:t>施情况</w:t>
                  </w:r>
                </w:p>
              </w:tc>
              <w:tc>
                <w:tcPr>
                  <w:tcW w:w="864" w:type="dxa"/>
                  <w:tcBorders>
                    <w:top w:val="single" w:color="auto" w:sz="12" w:space="0"/>
                    <w:bottom w:val="single" w:color="auto" w:sz="12" w:space="0"/>
                    <w:right w:val="nil"/>
                  </w:tcBorders>
                  <w:vAlign w:val="center"/>
                </w:tcPr>
                <w:p>
                  <w:pPr>
                    <w:spacing w:line="240" w:lineRule="auto"/>
                    <w:ind w:firstLine="0" w:firstLineChars="0"/>
                    <w:jc w:val="center"/>
                    <w:rPr>
                      <w:b/>
                      <w:sz w:val="21"/>
                    </w:rPr>
                  </w:pPr>
                  <w:r>
                    <w:rPr>
                      <w:rFonts w:hint="eastAsia"/>
                      <w:b/>
                      <w:sz w:val="21"/>
                    </w:rPr>
                    <w:t>保证性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3" w:type="dxa"/>
                  <w:tcBorders>
                    <w:top w:val="single" w:color="auto" w:sz="12" w:space="0"/>
                    <w:left w:val="nil"/>
                  </w:tcBorders>
                  <w:vAlign w:val="center"/>
                </w:tcPr>
                <w:p>
                  <w:pPr>
                    <w:spacing w:line="240" w:lineRule="auto"/>
                    <w:ind w:firstLine="0" w:firstLineChars="0"/>
                    <w:jc w:val="center"/>
                    <w:rPr>
                      <w:sz w:val="21"/>
                    </w:rPr>
                  </w:pPr>
                  <w:r>
                    <w:rPr>
                      <w:rFonts w:hint="eastAsia"/>
                      <w:sz w:val="21"/>
                    </w:rPr>
                    <w:t>给水工程</w:t>
                  </w:r>
                </w:p>
              </w:tc>
              <w:tc>
                <w:tcPr>
                  <w:tcW w:w="2651" w:type="dxa"/>
                  <w:tcBorders>
                    <w:top w:val="single" w:color="auto" w:sz="12" w:space="0"/>
                  </w:tcBorders>
                  <w:vAlign w:val="center"/>
                </w:tcPr>
                <w:p>
                  <w:pPr>
                    <w:spacing w:line="240" w:lineRule="auto"/>
                    <w:ind w:firstLine="210" w:firstLineChars="100"/>
                    <w:rPr>
                      <w:sz w:val="21"/>
                    </w:rPr>
                  </w:pPr>
                  <w:r>
                    <w:rPr>
                      <w:rFonts w:hint="eastAsia"/>
                      <w:sz w:val="21"/>
                    </w:rPr>
                    <w:t>园区位于涝河与洰河之间，年用水量为</w:t>
                  </w:r>
                  <w:r>
                    <w:rPr>
                      <w:sz w:val="21"/>
                    </w:rPr>
                    <w:t>446</w:t>
                  </w:r>
                  <w:r>
                    <w:rPr>
                      <w:rFonts w:hint="eastAsia"/>
                      <w:sz w:val="21"/>
                    </w:rPr>
                    <w:t>万m</w:t>
                  </w:r>
                  <w:r>
                    <w:rPr>
                      <w:rFonts w:hint="eastAsia"/>
                      <w:sz w:val="21"/>
                      <w:vertAlign w:val="superscript"/>
                    </w:rPr>
                    <w:t>3</w:t>
                  </w:r>
                  <w:r>
                    <w:rPr>
                      <w:rFonts w:hint="eastAsia"/>
                      <w:sz w:val="21"/>
                    </w:rPr>
                    <w:t>，涝河和洰河地表水源为规划水源。在园区东部规划给水厂一座，供水能力2.0万m</w:t>
                  </w:r>
                  <w:r>
                    <w:rPr>
                      <w:rFonts w:hint="eastAsia"/>
                      <w:sz w:val="21"/>
                      <w:vertAlign w:val="superscript"/>
                    </w:rPr>
                    <w:t>3</w:t>
                  </w:r>
                  <w:r>
                    <w:rPr>
                      <w:rFonts w:hint="eastAsia"/>
                      <w:sz w:val="21"/>
                    </w:rPr>
                    <w:t>/d。同时，规划中水作为未来道路浇洒、绿化及部分工业用水水源，中水水源为高新区污水处理厂，中水供水能力0.34万m</w:t>
                  </w:r>
                  <w:r>
                    <w:rPr>
                      <w:rFonts w:hint="eastAsia"/>
                      <w:sz w:val="21"/>
                      <w:vertAlign w:val="superscript"/>
                    </w:rPr>
                    <w:t>3</w:t>
                  </w:r>
                  <w:r>
                    <w:rPr>
                      <w:rFonts w:hint="eastAsia"/>
                      <w:sz w:val="21"/>
                    </w:rPr>
                    <w:t>/d。</w:t>
                  </w:r>
                </w:p>
              </w:tc>
              <w:tc>
                <w:tcPr>
                  <w:tcW w:w="1938" w:type="dxa"/>
                  <w:tcBorders>
                    <w:top w:val="single" w:color="auto" w:sz="12" w:space="0"/>
                  </w:tcBorders>
                  <w:vAlign w:val="center"/>
                </w:tcPr>
                <w:p>
                  <w:pPr>
                    <w:spacing w:line="240" w:lineRule="auto"/>
                    <w:ind w:firstLine="210" w:firstLineChars="100"/>
                    <w:rPr>
                      <w:sz w:val="21"/>
                    </w:rPr>
                  </w:pPr>
                  <w:r>
                    <w:rPr>
                      <w:rFonts w:hint="eastAsia"/>
                      <w:sz w:val="21"/>
                    </w:rPr>
                    <w:t>企业用水主要来自涝河水源。另外，山西华德冶铸有限公司厂内有一眼自备水井，东方恒略精密铸造有限公司厂内有两眼深水井，出水量均为</w:t>
                  </w:r>
                  <w:r>
                    <w:rPr>
                      <w:sz w:val="21"/>
                    </w:rPr>
                    <w:t>30m</w:t>
                  </w:r>
                  <w:r>
                    <w:rPr>
                      <w:sz w:val="21"/>
                      <w:vertAlign w:val="superscript"/>
                    </w:rPr>
                    <w:t>3</w:t>
                  </w:r>
                  <w:r>
                    <w:rPr>
                      <w:sz w:val="21"/>
                    </w:rPr>
                    <w:t>/h</w:t>
                  </w:r>
                  <w:r>
                    <w:rPr>
                      <w:rFonts w:hint="eastAsia"/>
                      <w:sz w:val="21"/>
                    </w:rPr>
                    <w:t>。</w:t>
                  </w:r>
                </w:p>
              </w:tc>
              <w:tc>
                <w:tcPr>
                  <w:tcW w:w="1857" w:type="dxa"/>
                  <w:tcBorders>
                    <w:top w:val="single" w:color="auto" w:sz="12" w:space="0"/>
                  </w:tcBorders>
                  <w:vAlign w:val="center"/>
                </w:tcPr>
                <w:p>
                  <w:pPr>
                    <w:spacing w:line="240" w:lineRule="auto"/>
                    <w:ind w:firstLine="210" w:firstLineChars="100"/>
                    <w:rPr>
                      <w:sz w:val="21"/>
                    </w:rPr>
                  </w:pPr>
                  <w:r>
                    <w:rPr>
                      <w:rFonts w:hint="eastAsia"/>
                      <w:sz w:val="21"/>
                    </w:rPr>
                    <w:t>依托东方恒略自备水井，本项目无生产用水，主要是2.75m</w:t>
                  </w:r>
                  <w:r>
                    <w:rPr>
                      <w:rFonts w:hint="eastAsia"/>
                      <w:sz w:val="21"/>
                      <w:vertAlign w:val="superscript"/>
                    </w:rPr>
                    <w:t>3</w:t>
                  </w:r>
                  <w:r>
                    <w:rPr>
                      <w:rFonts w:hint="eastAsia"/>
                      <w:sz w:val="21"/>
                    </w:rPr>
                    <w:t>/d职工生活用水和洗车用水，用水量较小。</w:t>
                  </w:r>
                </w:p>
              </w:tc>
              <w:tc>
                <w:tcPr>
                  <w:tcW w:w="864" w:type="dxa"/>
                  <w:tcBorders>
                    <w:top w:val="single" w:color="auto" w:sz="12" w:space="0"/>
                    <w:right w:val="nil"/>
                  </w:tcBorders>
                  <w:vAlign w:val="center"/>
                </w:tcPr>
                <w:p>
                  <w:pPr>
                    <w:spacing w:line="240" w:lineRule="auto"/>
                    <w:ind w:firstLine="0" w:firstLineChars="0"/>
                    <w:jc w:val="center"/>
                    <w:rPr>
                      <w:sz w:val="21"/>
                    </w:rPr>
                  </w:pPr>
                  <w:r>
                    <w:rPr>
                      <w:sz w:val="21"/>
                    </w:rPr>
                    <w:t>可保证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3" w:type="dxa"/>
                  <w:tcBorders>
                    <w:left w:val="nil"/>
                  </w:tcBorders>
                  <w:vAlign w:val="center"/>
                </w:tcPr>
                <w:p>
                  <w:pPr>
                    <w:spacing w:line="240" w:lineRule="auto"/>
                    <w:ind w:firstLine="0" w:firstLineChars="0"/>
                    <w:jc w:val="center"/>
                    <w:rPr>
                      <w:sz w:val="21"/>
                    </w:rPr>
                  </w:pPr>
                  <w:r>
                    <w:rPr>
                      <w:rFonts w:hint="eastAsia"/>
                      <w:sz w:val="21"/>
                    </w:rPr>
                    <w:t>排水工程</w:t>
                  </w:r>
                </w:p>
              </w:tc>
              <w:tc>
                <w:tcPr>
                  <w:tcW w:w="2651" w:type="dxa"/>
                  <w:vAlign w:val="center"/>
                </w:tcPr>
                <w:p>
                  <w:pPr>
                    <w:spacing w:line="240" w:lineRule="auto"/>
                    <w:ind w:firstLine="210" w:firstLineChars="100"/>
                    <w:rPr>
                      <w:sz w:val="21"/>
                    </w:rPr>
                  </w:pPr>
                  <w:r>
                    <w:rPr>
                      <w:rFonts w:hint="eastAsia"/>
                      <w:sz w:val="21"/>
                    </w:rPr>
                    <w:t>在园区内南侧新建一座大阳污水处理厂，远期处理能力</w:t>
                  </w:r>
                  <w:r>
                    <w:rPr>
                      <w:sz w:val="21"/>
                    </w:rPr>
                    <w:t>5000m</w:t>
                  </w:r>
                  <w:r>
                    <w:rPr>
                      <w:sz w:val="21"/>
                      <w:vertAlign w:val="superscript"/>
                    </w:rPr>
                    <w:t>3</w:t>
                  </w:r>
                  <w:r>
                    <w:rPr>
                      <w:sz w:val="21"/>
                    </w:rPr>
                    <w:t>/d</w:t>
                  </w:r>
                  <w:r>
                    <w:rPr>
                      <w:rFonts w:hint="eastAsia"/>
                      <w:sz w:val="21"/>
                    </w:rPr>
                    <w:t>，近期建设规模</w:t>
                  </w:r>
                  <w:r>
                    <w:rPr>
                      <w:sz w:val="21"/>
                    </w:rPr>
                    <w:t>2000m</w:t>
                  </w:r>
                  <w:r>
                    <w:rPr>
                      <w:sz w:val="21"/>
                      <w:vertAlign w:val="superscript"/>
                    </w:rPr>
                    <w:t>3</w:t>
                  </w:r>
                  <w:r>
                    <w:rPr>
                      <w:sz w:val="21"/>
                    </w:rPr>
                    <w:t>/d</w:t>
                  </w:r>
                  <w:r>
                    <w:rPr>
                      <w:rFonts w:hint="eastAsia"/>
                      <w:sz w:val="21"/>
                    </w:rPr>
                    <w:t>。尾水排入规划调蓄池，再经管道排至洰河，出水水质应满足《污水综合排放标准》（</w:t>
                  </w:r>
                  <w:r>
                    <w:rPr>
                      <w:sz w:val="21"/>
                    </w:rPr>
                    <w:t>DB14/1928</w:t>
                  </w:r>
                  <w:r>
                    <w:rPr>
                      <w:rFonts w:hint="eastAsia"/>
                      <w:sz w:val="21"/>
                    </w:rPr>
                    <w:t>—</w:t>
                  </w:r>
                  <w:r>
                    <w:rPr>
                      <w:sz w:val="21"/>
                    </w:rPr>
                    <w:t>2019</w:t>
                  </w:r>
                  <w:r>
                    <w:rPr>
                      <w:rFonts w:hint="eastAsia"/>
                      <w:sz w:val="21"/>
                    </w:rPr>
                    <w:t>）及汾河流域水污染治理相关政策法规要求。</w:t>
                  </w:r>
                </w:p>
                <w:p>
                  <w:pPr>
                    <w:spacing w:line="240" w:lineRule="auto"/>
                    <w:ind w:firstLine="210" w:firstLineChars="100"/>
                    <w:rPr>
                      <w:sz w:val="21"/>
                    </w:rPr>
                  </w:pPr>
                  <w:r>
                    <w:rPr>
                      <w:rFonts w:hint="eastAsia"/>
                      <w:sz w:val="21"/>
                    </w:rPr>
                    <w:t>污水厂中水回用方向为工业用水、道路浇洒、绿化浇灌及景观用水，再生水回用需达到相应水质标准。</w:t>
                  </w:r>
                </w:p>
              </w:tc>
              <w:tc>
                <w:tcPr>
                  <w:tcW w:w="1938" w:type="dxa"/>
                  <w:vAlign w:val="center"/>
                </w:tcPr>
                <w:p>
                  <w:pPr>
                    <w:spacing w:line="240" w:lineRule="auto"/>
                    <w:ind w:firstLine="210" w:firstLineChars="100"/>
                    <w:rPr>
                      <w:sz w:val="21"/>
                    </w:rPr>
                  </w:pPr>
                  <w:r>
                    <w:rPr>
                      <w:rFonts w:hint="eastAsia"/>
                      <w:sz w:val="21"/>
                    </w:rPr>
                    <w:t>企业生产用水及生活用水均自行处理达标，并回用于生产工艺及绿化浇洒。</w:t>
                  </w:r>
                </w:p>
              </w:tc>
              <w:tc>
                <w:tcPr>
                  <w:tcW w:w="1857" w:type="dxa"/>
                  <w:vAlign w:val="center"/>
                </w:tcPr>
                <w:p>
                  <w:pPr>
                    <w:spacing w:line="240" w:lineRule="auto"/>
                    <w:ind w:firstLine="210" w:firstLineChars="100"/>
                    <w:rPr>
                      <w:sz w:val="21"/>
                    </w:rPr>
                  </w:pPr>
                  <w:r>
                    <w:rPr>
                      <w:rFonts w:hint="eastAsia"/>
                      <w:sz w:val="21"/>
                    </w:rPr>
                    <w:t>本项目仅2.16m</w:t>
                  </w:r>
                  <w:r>
                    <w:rPr>
                      <w:rFonts w:hint="eastAsia"/>
                      <w:sz w:val="21"/>
                      <w:vertAlign w:val="superscript"/>
                    </w:rPr>
                    <w:t>3</w:t>
                  </w:r>
                  <w:r>
                    <w:rPr>
                      <w:rFonts w:hint="eastAsia"/>
                      <w:sz w:val="21"/>
                    </w:rPr>
                    <w:t>/d生活污水和洗车废水。生活废水依托东方恒略生活污水处理站，洗车依托东方恒略洗车平台。</w:t>
                  </w:r>
                </w:p>
                <w:p>
                  <w:pPr>
                    <w:spacing w:line="240" w:lineRule="auto"/>
                    <w:ind w:firstLine="420"/>
                    <w:rPr>
                      <w:sz w:val="21"/>
                    </w:rPr>
                  </w:pPr>
                </w:p>
              </w:tc>
              <w:tc>
                <w:tcPr>
                  <w:tcW w:w="864" w:type="dxa"/>
                  <w:tcBorders>
                    <w:right w:val="nil"/>
                  </w:tcBorders>
                  <w:vAlign w:val="center"/>
                </w:tcPr>
                <w:p>
                  <w:pPr>
                    <w:spacing w:line="240" w:lineRule="auto"/>
                    <w:ind w:firstLine="0" w:firstLineChars="0"/>
                    <w:jc w:val="center"/>
                    <w:rPr>
                      <w:sz w:val="21"/>
                    </w:rPr>
                  </w:pPr>
                  <w:r>
                    <w:rPr>
                      <w:sz w:val="21"/>
                    </w:rPr>
                    <w:t>可保证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3" w:type="dxa"/>
                  <w:tcBorders>
                    <w:left w:val="nil"/>
                  </w:tcBorders>
                  <w:vAlign w:val="center"/>
                </w:tcPr>
                <w:p>
                  <w:pPr>
                    <w:spacing w:line="240" w:lineRule="auto"/>
                    <w:ind w:firstLine="0" w:firstLineChars="0"/>
                    <w:jc w:val="center"/>
                    <w:rPr>
                      <w:sz w:val="21"/>
                    </w:rPr>
                  </w:pPr>
                  <w:r>
                    <w:rPr>
                      <w:rFonts w:hint="eastAsia"/>
                      <w:sz w:val="21"/>
                    </w:rPr>
                    <w:t>供热工程</w:t>
                  </w:r>
                </w:p>
              </w:tc>
              <w:tc>
                <w:tcPr>
                  <w:tcW w:w="2651" w:type="dxa"/>
                  <w:vAlign w:val="center"/>
                </w:tcPr>
                <w:p>
                  <w:pPr>
                    <w:spacing w:line="240" w:lineRule="auto"/>
                    <w:ind w:firstLine="210" w:firstLineChars="100"/>
                    <w:rPr>
                      <w:sz w:val="21"/>
                    </w:rPr>
                  </w:pPr>
                  <w:r>
                    <w:rPr>
                      <w:rFonts w:hint="eastAsia"/>
                      <w:sz w:val="21"/>
                    </w:rPr>
                    <w:t>规划期末，集中供热普及率达到</w:t>
                  </w:r>
                  <w:r>
                    <w:rPr>
                      <w:sz w:val="21"/>
                    </w:rPr>
                    <w:t>100%</w:t>
                  </w:r>
                  <w:r>
                    <w:rPr>
                      <w:rFonts w:hint="eastAsia"/>
                      <w:sz w:val="21"/>
                    </w:rPr>
                    <w:t>。近期规划园区内中部西侧规划能源综合利用中心回收工业余热，配套</w:t>
                  </w:r>
                  <w:r>
                    <w:rPr>
                      <w:sz w:val="21"/>
                    </w:rPr>
                    <w:t>3</w:t>
                  </w:r>
                  <w:r>
                    <w:rPr>
                      <w:rFonts w:hint="eastAsia"/>
                      <w:sz w:val="21"/>
                    </w:rPr>
                    <w:t>×</w:t>
                  </w:r>
                  <w:r>
                    <w:rPr>
                      <w:sz w:val="21"/>
                    </w:rPr>
                    <w:t>40t/h</w:t>
                  </w:r>
                  <w:r>
                    <w:rPr>
                      <w:rFonts w:hint="eastAsia"/>
                      <w:sz w:val="21"/>
                    </w:rPr>
                    <w:t>蒸汽余热锅炉，燃气作为补充热源，根据采暖负荷配套建设换热首站一座，规模</w:t>
                  </w:r>
                  <w:r>
                    <w:rPr>
                      <w:sz w:val="21"/>
                    </w:rPr>
                    <w:t>14MW</w:t>
                  </w:r>
                  <w:r>
                    <w:rPr>
                      <w:rFonts w:hint="eastAsia"/>
                      <w:sz w:val="21"/>
                    </w:rPr>
                    <w:t>。能源综合利用中心做为园区采暖及工业用汽热源。</w:t>
                  </w:r>
                </w:p>
              </w:tc>
              <w:tc>
                <w:tcPr>
                  <w:tcW w:w="1938" w:type="dxa"/>
                  <w:vAlign w:val="center"/>
                </w:tcPr>
                <w:p>
                  <w:pPr>
                    <w:spacing w:line="240" w:lineRule="auto"/>
                    <w:ind w:firstLine="210" w:firstLineChars="100"/>
                    <w:rPr>
                      <w:sz w:val="21"/>
                    </w:rPr>
                  </w:pPr>
                  <w:r>
                    <w:rPr>
                      <w:rFonts w:hint="eastAsia"/>
                      <w:sz w:val="21"/>
                    </w:rPr>
                    <w:t>园区范围内东方恒略精密铸造有限公司厂建设有燃气热电厂一座，受生产工艺限制，供热规模较小仅为</w:t>
                  </w:r>
                  <w:r>
                    <w:rPr>
                      <w:sz w:val="21"/>
                    </w:rPr>
                    <w:t>2</w:t>
                  </w:r>
                  <w:r>
                    <w:rPr>
                      <w:rFonts w:hint="eastAsia"/>
                      <w:sz w:val="21"/>
                    </w:rPr>
                    <w:t>万</w:t>
                  </w:r>
                  <w:r>
                    <w:rPr>
                      <w:sz w:val="21"/>
                    </w:rPr>
                    <w:t>m</w:t>
                  </w:r>
                  <w:r>
                    <w:rPr>
                      <w:sz w:val="21"/>
                      <w:vertAlign w:val="superscript"/>
                    </w:rPr>
                    <w:t>2</w:t>
                  </w:r>
                  <w:r>
                    <w:rPr>
                      <w:rFonts w:hint="eastAsia"/>
                      <w:sz w:val="21"/>
                    </w:rPr>
                    <w:t>，目前仅用于厂内生产用热。</w:t>
                  </w:r>
                </w:p>
              </w:tc>
              <w:tc>
                <w:tcPr>
                  <w:tcW w:w="1857" w:type="dxa"/>
                  <w:vAlign w:val="center"/>
                </w:tcPr>
                <w:p>
                  <w:pPr>
                    <w:spacing w:line="240" w:lineRule="auto"/>
                    <w:ind w:firstLine="210" w:firstLineChars="100"/>
                    <w:rPr>
                      <w:sz w:val="21"/>
                    </w:rPr>
                  </w:pPr>
                  <w:r>
                    <w:rPr>
                      <w:rFonts w:hint="eastAsia"/>
                      <w:sz w:val="21"/>
                    </w:rPr>
                    <w:t>本项目冬季车间不供暖，办公室采用电采暖。</w:t>
                  </w:r>
                </w:p>
              </w:tc>
              <w:tc>
                <w:tcPr>
                  <w:tcW w:w="864" w:type="dxa"/>
                  <w:tcBorders>
                    <w:right w:val="nil"/>
                  </w:tcBorders>
                  <w:vAlign w:val="center"/>
                </w:tcPr>
                <w:p>
                  <w:pPr>
                    <w:spacing w:line="240" w:lineRule="auto"/>
                    <w:ind w:firstLine="0" w:firstLineChars="0"/>
                    <w:jc w:val="center"/>
                    <w:rPr>
                      <w:sz w:val="21"/>
                    </w:rPr>
                  </w:pPr>
                  <w:r>
                    <w:rPr>
                      <w:sz w:val="21"/>
                    </w:rPr>
                    <w:t>可保证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3" w:type="dxa"/>
                  <w:tcBorders>
                    <w:left w:val="nil"/>
                  </w:tcBorders>
                  <w:vAlign w:val="center"/>
                </w:tcPr>
                <w:p>
                  <w:pPr>
                    <w:spacing w:line="240" w:lineRule="auto"/>
                    <w:ind w:firstLine="0" w:firstLineChars="0"/>
                    <w:jc w:val="center"/>
                    <w:rPr>
                      <w:sz w:val="21"/>
                    </w:rPr>
                  </w:pPr>
                  <w:r>
                    <w:rPr>
                      <w:rFonts w:hint="eastAsia"/>
                      <w:sz w:val="21"/>
                    </w:rPr>
                    <w:t>燃气工程</w:t>
                  </w:r>
                </w:p>
              </w:tc>
              <w:tc>
                <w:tcPr>
                  <w:tcW w:w="2651" w:type="dxa"/>
                  <w:vAlign w:val="center"/>
                </w:tcPr>
                <w:p>
                  <w:pPr>
                    <w:spacing w:line="240" w:lineRule="auto"/>
                    <w:ind w:firstLine="210" w:firstLineChars="100"/>
                    <w:rPr>
                      <w:sz w:val="21"/>
                    </w:rPr>
                  </w:pPr>
                  <w:r>
                    <w:rPr>
                      <w:rFonts w:hint="eastAsia"/>
                      <w:sz w:val="21"/>
                    </w:rPr>
                    <w:t>规划期末，园区气化率达到</w:t>
                  </w:r>
                  <w:r>
                    <w:rPr>
                      <w:sz w:val="21"/>
                    </w:rPr>
                    <w:t>95%</w:t>
                  </w:r>
                  <w:r>
                    <w:rPr>
                      <w:rFonts w:hint="eastAsia"/>
                      <w:sz w:val="21"/>
                    </w:rPr>
                    <w:t>以上。生活服务区综合生活用气、工业生产用气及燃气热源厂用气采用天然气为主要气源。气源来自中石油西气东输环临汾市区</w:t>
                  </w:r>
                  <w:r>
                    <w:rPr>
                      <w:sz w:val="21"/>
                    </w:rPr>
                    <w:t>4.0MPa</w:t>
                  </w:r>
                  <w:r>
                    <w:rPr>
                      <w:rFonts w:hint="eastAsia"/>
                      <w:sz w:val="21"/>
                    </w:rPr>
                    <w:t>高压复线，在海姿热源厂设有阀室，自阀室引</w:t>
                  </w:r>
                  <w:r>
                    <w:rPr>
                      <w:sz w:val="21"/>
                    </w:rPr>
                    <w:t>DN300</w:t>
                  </w:r>
                  <w:r>
                    <w:rPr>
                      <w:rFonts w:hint="eastAsia"/>
                      <w:sz w:val="21"/>
                    </w:rPr>
                    <w:t>次高压管线至大阳高端装备制造产业园。在园区西侧规划高中压调压站一座，供气规模</w:t>
                  </w:r>
                  <w:r>
                    <w:rPr>
                      <w:sz w:val="21"/>
                    </w:rPr>
                    <w:t>1.5</w:t>
                  </w:r>
                  <w:r>
                    <w:rPr>
                      <w:rFonts w:hint="eastAsia"/>
                      <w:sz w:val="21"/>
                    </w:rPr>
                    <w:t>亿</w:t>
                  </w:r>
                  <w:r>
                    <w:rPr>
                      <w:sz w:val="21"/>
                    </w:rPr>
                    <w:t>Nm</w:t>
                  </w:r>
                  <w:r>
                    <w:rPr>
                      <w:rFonts w:hint="eastAsia"/>
                      <w:sz w:val="21"/>
                      <w:vertAlign w:val="superscript"/>
                    </w:rPr>
                    <w:t>3</w:t>
                  </w:r>
                  <w:r>
                    <w:rPr>
                      <w:sz w:val="21"/>
                    </w:rPr>
                    <w:t>/a</w:t>
                  </w:r>
                  <w:r>
                    <w:rPr>
                      <w:rFonts w:hint="eastAsia"/>
                      <w:sz w:val="21"/>
                    </w:rPr>
                    <w:t>。</w:t>
                  </w:r>
                </w:p>
              </w:tc>
              <w:tc>
                <w:tcPr>
                  <w:tcW w:w="1938" w:type="dxa"/>
                  <w:vAlign w:val="center"/>
                </w:tcPr>
                <w:p>
                  <w:pPr>
                    <w:spacing w:line="240" w:lineRule="auto"/>
                    <w:ind w:firstLine="210" w:firstLineChars="100"/>
                    <w:rPr>
                      <w:sz w:val="21"/>
                    </w:rPr>
                  </w:pPr>
                  <w:r>
                    <w:rPr>
                      <w:rFonts w:hint="eastAsia"/>
                      <w:sz w:val="21"/>
                    </w:rPr>
                    <w:t>居民炊事以液化气为主。</w:t>
                  </w:r>
                </w:p>
                <w:p>
                  <w:pPr>
                    <w:spacing w:line="240" w:lineRule="auto"/>
                    <w:ind w:firstLine="210" w:firstLineChars="100"/>
                    <w:rPr>
                      <w:sz w:val="21"/>
                    </w:rPr>
                  </w:pPr>
                  <w:r>
                    <w:rPr>
                      <w:rFonts w:hint="eastAsia"/>
                      <w:sz w:val="21"/>
                    </w:rPr>
                    <w:t>东方恒略精密铸造有限公司建设有储气站一座，用以回收生产过程中产生的高炉煤气。</w:t>
                  </w:r>
                </w:p>
                <w:p>
                  <w:pPr>
                    <w:spacing w:line="240" w:lineRule="auto"/>
                    <w:ind w:firstLine="210" w:firstLineChars="100"/>
                    <w:rPr>
                      <w:sz w:val="21"/>
                    </w:rPr>
                  </w:pPr>
                  <w:r>
                    <w:rPr>
                      <w:rFonts w:hint="eastAsia"/>
                      <w:sz w:val="21"/>
                    </w:rPr>
                    <w:t>中石油拟投资建设自海姿热源厂阀室至大阳高端装备制造产业园区次高压燃气管线及园区门站，可满足园区发展用气需求。</w:t>
                  </w:r>
                </w:p>
              </w:tc>
              <w:tc>
                <w:tcPr>
                  <w:tcW w:w="1857" w:type="dxa"/>
                  <w:vAlign w:val="center"/>
                </w:tcPr>
                <w:p>
                  <w:pPr>
                    <w:spacing w:line="240" w:lineRule="auto"/>
                    <w:ind w:firstLine="210" w:firstLineChars="100"/>
                    <w:rPr>
                      <w:sz w:val="21"/>
                    </w:rPr>
                  </w:pPr>
                  <w:r>
                    <w:rPr>
                      <w:rFonts w:hint="eastAsia"/>
                      <w:sz w:val="21"/>
                    </w:rPr>
                    <w:t>本项目员工拟计划在盛泰源食堂就餐，就餐人数约15人，盛泰源食堂燃气炉灶燃料为液化气。</w:t>
                  </w:r>
                </w:p>
              </w:tc>
              <w:tc>
                <w:tcPr>
                  <w:tcW w:w="864" w:type="dxa"/>
                  <w:tcBorders>
                    <w:right w:val="nil"/>
                  </w:tcBorders>
                  <w:vAlign w:val="center"/>
                </w:tcPr>
                <w:p>
                  <w:pPr>
                    <w:spacing w:line="240" w:lineRule="auto"/>
                    <w:ind w:firstLine="0" w:firstLineChars="0"/>
                    <w:jc w:val="center"/>
                    <w:rPr>
                      <w:sz w:val="21"/>
                    </w:rPr>
                  </w:pPr>
                  <w:r>
                    <w:rPr>
                      <w:sz w:val="21"/>
                    </w:rPr>
                    <w:t>可保证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3" w:type="dxa"/>
                  <w:tcBorders>
                    <w:left w:val="nil"/>
                    <w:bottom w:val="single" w:color="auto" w:sz="12" w:space="0"/>
                  </w:tcBorders>
                  <w:vAlign w:val="center"/>
                </w:tcPr>
                <w:p>
                  <w:pPr>
                    <w:spacing w:line="240" w:lineRule="auto"/>
                    <w:ind w:firstLine="0" w:firstLineChars="0"/>
                    <w:jc w:val="center"/>
                    <w:rPr>
                      <w:sz w:val="21"/>
                    </w:rPr>
                  </w:pPr>
                  <w:r>
                    <w:rPr>
                      <w:rFonts w:hint="eastAsia"/>
                      <w:sz w:val="21"/>
                    </w:rPr>
                    <w:t>供电工程</w:t>
                  </w:r>
                </w:p>
              </w:tc>
              <w:tc>
                <w:tcPr>
                  <w:tcW w:w="2651" w:type="dxa"/>
                  <w:tcBorders>
                    <w:bottom w:val="single" w:color="auto" w:sz="12" w:space="0"/>
                  </w:tcBorders>
                  <w:vAlign w:val="center"/>
                </w:tcPr>
                <w:p>
                  <w:pPr>
                    <w:spacing w:line="240" w:lineRule="auto"/>
                    <w:ind w:firstLine="210" w:firstLineChars="100"/>
                    <w:rPr>
                      <w:sz w:val="21"/>
                    </w:rPr>
                  </w:pPr>
                  <w:r>
                    <w:rPr>
                      <w:rFonts w:hint="eastAsia"/>
                      <w:sz w:val="21"/>
                    </w:rPr>
                    <w:t>在园区东侧规划大阳</w:t>
                  </w:r>
                  <w:r>
                    <w:rPr>
                      <w:sz w:val="21"/>
                    </w:rPr>
                    <w:t>110kV</w:t>
                  </w:r>
                  <w:r>
                    <w:rPr>
                      <w:rFonts w:hint="eastAsia"/>
                      <w:sz w:val="21"/>
                    </w:rPr>
                    <w:t>变电站一座，主变容量</w:t>
                  </w:r>
                  <w:r>
                    <w:rPr>
                      <w:sz w:val="21"/>
                    </w:rPr>
                    <w:t>2</w:t>
                  </w:r>
                  <w:r>
                    <w:rPr>
                      <w:rFonts w:hint="eastAsia"/>
                      <w:sz w:val="21"/>
                    </w:rPr>
                    <w:t>×</w:t>
                  </w:r>
                  <w:r>
                    <w:rPr>
                      <w:sz w:val="21"/>
                    </w:rPr>
                    <w:t>50MVA</w:t>
                  </w:r>
                  <w:r>
                    <w:rPr>
                      <w:rFonts w:hint="eastAsia"/>
                      <w:sz w:val="21"/>
                    </w:rPr>
                    <w:t>，电源进线分别引自乔北</w:t>
                  </w:r>
                  <w:r>
                    <w:rPr>
                      <w:sz w:val="21"/>
                    </w:rPr>
                    <w:t>220kV</w:t>
                  </w:r>
                  <w:r>
                    <w:rPr>
                      <w:rFonts w:hint="eastAsia"/>
                      <w:sz w:val="21"/>
                    </w:rPr>
                    <w:t>变电站及市东</w:t>
                  </w:r>
                  <w:r>
                    <w:rPr>
                      <w:sz w:val="21"/>
                    </w:rPr>
                    <w:t>220kV</w:t>
                  </w:r>
                  <w:r>
                    <w:rPr>
                      <w:rFonts w:hint="eastAsia"/>
                      <w:sz w:val="21"/>
                    </w:rPr>
                    <w:t>变电站。与志强</w:t>
                  </w:r>
                  <w:r>
                    <w:rPr>
                      <w:sz w:val="21"/>
                    </w:rPr>
                    <w:t>110kV</w:t>
                  </w:r>
                  <w:r>
                    <w:rPr>
                      <w:rFonts w:hint="eastAsia"/>
                      <w:sz w:val="21"/>
                    </w:rPr>
                    <w:t>变电站（主变容量</w:t>
                  </w:r>
                  <w:r>
                    <w:rPr>
                      <w:sz w:val="21"/>
                    </w:rPr>
                    <w:t>50+31.5MVA</w:t>
                  </w:r>
                  <w:r>
                    <w:rPr>
                      <w:rFonts w:hint="eastAsia"/>
                      <w:sz w:val="21"/>
                    </w:rPr>
                    <w:t>）共同组成大阳高端装备制造产业园供电电源。</w:t>
                  </w:r>
                </w:p>
                <w:p>
                  <w:pPr>
                    <w:spacing w:line="240" w:lineRule="auto"/>
                    <w:ind w:firstLine="210" w:firstLineChars="100"/>
                    <w:rPr>
                      <w:sz w:val="21"/>
                    </w:rPr>
                  </w:pPr>
                  <w:r>
                    <w:rPr>
                      <w:rFonts w:hint="eastAsia"/>
                      <w:sz w:val="21"/>
                    </w:rPr>
                    <w:t>规划远期园区用电由</w:t>
                  </w:r>
                  <w:r>
                    <w:rPr>
                      <w:sz w:val="21"/>
                    </w:rPr>
                    <w:t>110kV</w:t>
                  </w:r>
                  <w:r>
                    <w:rPr>
                      <w:rFonts w:hint="eastAsia"/>
                      <w:sz w:val="21"/>
                    </w:rPr>
                    <w:t>变电站引</w:t>
                  </w:r>
                  <w:r>
                    <w:rPr>
                      <w:sz w:val="21"/>
                    </w:rPr>
                    <w:t>10kV</w:t>
                  </w:r>
                  <w:r>
                    <w:rPr>
                      <w:rFonts w:hint="eastAsia"/>
                      <w:sz w:val="21"/>
                    </w:rPr>
                    <w:t>线路解决。园区做到双电源双回路，确保园区电网可靠。企业可根据需要就近引接相应的电压等级的电源。规划</w:t>
                  </w:r>
                  <w:r>
                    <w:rPr>
                      <w:sz w:val="21"/>
                    </w:rPr>
                    <w:t>10kV</w:t>
                  </w:r>
                  <w:r>
                    <w:rPr>
                      <w:rFonts w:hint="eastAsia"/>
                      <w:sz w:val="21"/>
                    </w:rPr>
                    <w:t>开闭所共计</w:t>
                  </w:r>
                  <w:r>
                    <w:rPr>
                      <w:sz w:val="21"/>
                    </w:rPr>
                    <w:t>11</w:t>
                  </w:r>
                  <w:r>
                    <w:rPr>
                      <w:rFonts w:hint="eastAsia"/>
                      <w:sz w:val="21"/>
                    </w:rPr>
                    <w:t>座。</w:t>
                  </w:r>
                </w:p>
              </w:tc>
              <w:tc>
                <w:tcPr>
                  <w:tcW w:w="1938" w:type="dxa"/>
                  <w:tcBorders>
                    <w:bottom w:val="single" w:color="auto" w:sz="12" w:space="0"/>
                  </w:tcBorders>
                  <w:vAlign w:val="center"/>
                </w:tcPr>
                <w:p>
                  <w:pPr>
                    <w:spacing w:line="240" w:lineRule="auto"/>
                    <w:ind w:firstLine="210" w:firstLineChars="100"/>
                    <w:rPr>
                      <w:sz w:val="21"/>
                    </w:rPr>
                  </w:pPr>
                  <w:r>
                    <w:rPr>
                      <w:rFonts w:hint="eastAsia"/>
                      <w:sz w:val="21"/>
                    </w:rPr>
                    <w:t>园区范围内现有志强</w:t>
                  </w:r>
                  <w:r>
                    <w:rPr>
                      <w:sz w:val="21"/>
                    </w:rPr>
                    <w:t>110kV</w:t>
                  </w:r>
                  <w:r>
                    <w:rPr>
                      <w:rFonts w:hint="eastAsia"/>
                      <w:sz w:val="21"/>
                    </w:rPr>
                    <w:t>变电站一座，主变容量</w:t>
                  </w:r>
                  <w:r>
                    <w:rPr>
                      <w:sz w:val="21"/>
                    </w:rPr>
                    <w:t>50+31.5MVA</w:t>
                  </w:r>
                  <w:r>
                    <w:rPr>
                      <w:rFonts w:hint="eastAsia"/>
                      <w:sz w:val="21"/>
                    </w:rPr>
                    <w:t>，电源分别引自空港</w:t>
                  </w:r>
                  <w:r>
                    <w:rPr>
                      <w:sz w:val="21"/>
                    </w:rPr>
                    <w:t>110kV</w:t>
                  </w:r>
                  <w:r>
                    <w:rPr>
                      <w:rFonts w:hint="eastAsia"/>
                      <w:sz w:val="21"/>
                    </w:rPr>
                    <w:t>变电站及浮山</w:t>
                  </w:r>
                  <w:r>
                    <w:rPr>
                      <w:sz w:val="21"/>
                    </w:rPr>
                    <w:t>110kV</w:t>
                  </w:r>
                  <w:r>
                    <w:rPr>
                      <w:rFonts w:hint="eastAsia"/>
                      <w:sz w:val="21"/>
                    </w:rPr>
                    <w:t>变电站。园区电缆采用地上架线布置，不成系统。</w:t>
                  </w:r>
                </w:p>
                <w:p>
                  <w:pPr>
                    <w:spacing w:line="240" w:lineRule="auto"/>
                    <w:ind w:firstLine="210" w:firstLineChars="100"/>
                    <w:rPr>
                      <w:sz w:val="21"/>
                    </w:rPr>
                  </w:pPr>
                  <w:r>
                    <w:rPr>
                      <w:rFonts w:hint="eastAsia"/>
                      <w:sz w:val="21"/>
                    </w:rPr>
                    <w:t>园区范围内有两回南北向临汾</w:t>
                  </w:r>
                  <w:r>
                    <w:rPr>
                      <w:sz w:val="21"/>
                    </w:rPr>
                    <w:t>—</w:t>
                  </w:r>
                  <w:r>
                    <w:rPr>
                      <w:rFonts w:hint="eastAsia"/>
                      <w:sz w:val="21"/>
                    </w:rPr>
                    <w:t>霍州</w:t>
                  </w:r>
                  <w:r>
                    <w:rPr>
                      <w:sz w:val="21"/>
                    </w:rPr>
                    <w:t>500kV</w:t>
                  </w:r>
                  <w:r>
                    <w:rPr>
                      <w:rFonts w:hint="eastAsia"/>
                      <w:sz w:val="21"/>
                    </w:rPr>
                    <w:t>高压线穿越，东侧线路对园区切割极为严重。</w:t>
                  </w:r>
                </w:p>
              </w:tc>
              <w:tc>
                <w:tcPr>
                  <w:tcW w:w="1857" w:type="dxa"/>
                  <w:tcBorders>
                    <w:bottom w:val="single" w:color="auto" w:sz="12" w:space="0"/>
                  </w:tcBorders>
                  <w:vAlign w:val="center"/>
                </w:tcPr>
                <w:p>
                  <w:pPr>
                    <w:spacing w:line="240" w:lineRule="auto"/>
                    <w:ind w:firstLine="210" w:firstLineChars="100"/>
                    <w:rPr>
                      <w:sz w:val="21"/>
                    </w:rPr>
                  </w:pPr>
                  <w:r>
                    <w:rPr>
                      <w:rFonts w:hint="eastAsia"/>
                      <w:sz w:val="21"/>
                    </w:rPr>
                    <w:t>依托东方恒略110KV专用供电线路供应，另新建10kv变压器。</w:t>
                  </w:r>
                </w:p>
              </w:tc>
              <w:tc>
                <w:tcPr>
                  <w:tcW w:w="864" w:type="dxa"/>
                  <w:tcBorders>
                    <w:bottom w:val="single" w:color="auto" w:sz="12" w:space="0"/>
                    <w:right w:val="nil"/>
                  </w:tcBorders>
                  <w:vAlign w:val="center"/>
                </w:tcPr>
                <w:p>
                  <w:pPr>
                    <w:spacing w:line="240" w:lineRule="auto"/>
                    <w:ind w:firstLine="0" w:firstLineChars="0"/>
                    <w:jc w:val="center"/>
                    <w:rPr>
                      <w:sz w:val="21"/>
                    </w:rPr>
                  </w:pPr>
                  <w:r>
                    <w:rPr>
                      <w:sz w:val="21"/>
                    </w:rPr>
                    <w:t>可保证</w:t>
                  </w:r>
                </w:p>
              </w:tc>
            </w:tr>
          </w:tbl>
          <w:p>
            <w:pPr>
              <w:ind w:firstLine="480"/>
              <w:rPr>
                <w:b/>
                <w:bCs/>
              </w:rPr>
            </w:pPr>
            <w:r>
              <w:rPr>
                <w:rFonts w:hint="eastAsia"/>
              </w:rPr>
              <w:t>根据表1-2分析，本项目基础设施在园区规划基础设施建立前均合理可行，可保证项目正常运行。</w:t>
            </w:r>
          </w:p>
          <w:p>
            <w:pPr>
              <w:ind w:firstLine="482"/>
              <w:rPr>
                <w:b/>
                <w:bCs/>
              </w:rPr>
            </w:pPr>
            <w:r>
              <w:rPr>
                <w:rFonts w:hint="eastAsia"/>
                <w:b/>
                <w:bCs/>
              </w:rPr>
              <w:t>1.2项目与《尧都高新技术产业开发区总体规划（2020-2035）</w:t>
            </w:r>
            <w:r>
              <w:rPr>
                <w:b/>
                <w:bCs/>
              </w:rPr>
              <w:t>环境影响报告书》</w:t>
            </w:r>
            <w:r>
              <w:rPr>
                <w:rFonts w:hint="eastAsia"/>
                <w:b/>
                <w:bCs/>
              </w:rPr>
              <w:t>的符合性分析</w:t>
            </w:r>
          </w:p>
          <w:p>
            <w:pPr>
              <w:ind w:firstLine="480"/>
            </w:pPr>
            <w:r>
              <w:rPr>
                <w:rFonts w:hint="eastAsia"/>
              </w:rPr>
              <w:t>本项目建设情况与《尧都高新技术产业开发区总体规划（2020-2035）环境影响报告书》生态环境准入清单符合分析见表1-3。</w:t>
            </w:r>
          </w:p>
          <w:p>
            <w:pPr>
              <w:spacing w:line="240" w:lineRule="auto"/>
              <w:ind w:firstLine="0" w:firstLineChars="0"/>
              <w:jc w:val="center"/>
              <w:rPr>
                <w:rFonts w:cs="Times New Roman"/>
                <w:b/>
                <w:kern w:val="0"/>
                <w:sz w:val="21"/>
                <w:szCs w:val="20"/>
              </w:rPr>
            </w:pPr>
            <w:r>
              <w:rPr>
                <w:rFonts w:cs="Times New Roman"/>
                <w:b/>
                <w:kern w:val="0"/>
                <w:sz w:val="21"/>
                <w:szCs w:val="20"/>
              </w:rPr>
              <w:t>表1</w:t>
            </w:r>
            <w:r>
              <w:rPr>
                <w:rFonts w:hint="eastAsia" w:cs="Times New Roman"/>
                <w:b/>
                <w:kern w:val="0"/>
                <w:sz w:val="21"/>
                <w:szCs w:val="20"/>
              </w:rPr>
              <w:t>-3</w:t>
            </w:r>
            <w:r>
              <w:rPr>
                <w:rFonts w:cs="Times New Roman"/>
                <w:b/>
                <w:kern w:val="0"/>
                <w:sz w:val="21"/>
                <w:szCs w:val="20"/>
              </w:rPr>
              <w:t xml:space="preserve">  </w:t>
            </w:r>
            <w:r>
              <w:rPr>
                <w:rFonts w:hint="eastAsia" w:cs="Times New Roman"/>
                <w:b/>
                <w:kern w:val="0"/>
                <w:sz w:val="21"/>
                <w:szCs w:val="20"/>
              </w:rPr>
              <w:t>项目与尧都高新技术开发区</w:t>
            </w:r>
            <w:r>
              <w:rPr>
                <w:rFonts w:cs="Times New Roman"/>
                <w:b/>
                <w:kern w:val="0"/>
                <w:sz w:val="21"/>
                <w:szCs w:val="20"/>
              </w:rPr>
              <w:t>生态环境准入清单</w:t>
            </w:r>
            <w:r>
              <w:rPr>
                <w:rFonts w:hint="eastAsia" w:cs="Times New Roman"/>
                <w:b/>
                <w:kern w:val="0"/>
                <w:sz w:val="21"/>
                <w:szCs w:val="20"/>
              </w:rPr>
              <w:t>的符合性分析</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5"/>
              <w:gridCol w:w="743"/>
              <w:gridCol w:w="3663"/>
              <w:gridCol w:w="2471"/>
              <w:gridCol w:w="6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324" w:type="pct"/>
                  <w:tcBorders>
                    <w:bottom w:val="single" w:color="auto" w:sz="12" w:space="0"/>
                  </w:tcBorders>
                  <w:vAlign w:val="center"/>
                </w:tcPr>
                <w:p>
                  <w:pPr>
                    <w:spacing w:line="240" w:lineRule="auto"/>
                    <w:ind w:firstLine="0" w:firstLineChars="0"/>
                    <w:contextualSpacing/>
                    <w:jc w:val="center"/>
                    <w:rPr>
                      <w:rFonts w:cs="Times New Roman"/>
                      <w:b/>
                      <w:bCs/>
                      <w:kern w:val="0"/>
                      <w:sz w:val="21"/>
                      <w:szCs w:val="21"/>
                    </w:rPr>
                  </w:pPr>
                  <w:r>
                    <w:rPr>
                      <w:rFonts w:cs="Times New Roman"/>
                      <w:b/>
                      <w:bCs/>
                      <w:kern w:val="0"/>
                      <w:sz w:val="21"/>
                      <w:szCs w:val="21"/>
                    </w:rPr>
                    <w:t>项目</w:t>
                  </w:r>
                </w:p>
              </w:tc>
              <w:tc>
                <w:tcPr>
                  <w:tcW w:w="2727" w:type="pct"/>
                  <w:gridSpan w:val="2"/>
                  <w:tcBorders>
                    <w:bottom w:val="single" w:color="auto" w:sz="12" w:space="0"/>
                  </w:tcBorders>
                  <w:vAlign w:val="center"/>
                </w:tcPr>
                <w:p>
                  <w:pPr>
                    <w:spacing w:line="240" w:lineRule="auto"/>
                    <w:ind w:firstLine="0" w:firstLineChars="0"/>
                    <w:contextualSpacing/>
                    <w:jc w:val="center"/>
                    <w:rPr>
                      <w:rFonts w:cs="Times New Roman"/>
                      <w:b/>
                      <w:bCs/>
                      <w:kern w:val="0"/>
                      <w:sz w:val="21"/>
                      <w:szCs w:val="21"/>
                    </w:rPr>
                  </w:pPr>
                  <w:r>
                    <w:rPr>
                      <w:rFonts w:cs="Times New Roman"/>
                      <w:b/>
                      <w:bCs/>
                      <w:kern w:val="0"/>
                      <w:sz w:val="21"/>
                      <w:szCs w:val="21"/>
                    </w:rPr>
                    <w:t>准入内容</w:t>
                  </w:r>
                </w:p>
              </w:tc>
              <w:tc>
                <w:tcPr>
                  <w:tcW w:w="1529" w:type="pct"/>
                  <w:tcBorders>
                    <w:bottom w:val="single" w:color="auto" w:sz="12" w:space="0"/>
                  </w:tcBorders>
                  <w:vAlign w:val="center"/>
                </w:tcPr>
                <w:p>
                  <w:pPr>
                    <w:spacing w:line="240" w:lineRule="auto"/>
                    <w:ind w:firstLine="0" w:firstLineChars="0"/>
                    <w:contextualSpacing/>
                    <w:jc w:val="center"/>
                    <w:rPr>
                      <w:rFonts w:cs="Times New Roman"/>
                      <w:b/>
                      <w:bCs/>
                      <w:kern w:val="0"/>
                      <w:sz w:val="21"/>
                      <w:szCs w:val="21"/>
                    </w:rPr>
                  </w:pPr>
                  <w:r>
                    <w:rPr>
                      <w:rFonts w:hint="eastAsia" w:cs="Times New Roman"/>
                      <w:b/>
                      <w:bCs/>
                      <w:kern w:val="0"/>
                      <w:sz w:val="21"/>
                      <w:szCs w:val="21"/>
                    </w:rPr>
                    <w:t>项目建设情况</w:t>
                  </w:r>
                </w:p>
              </w:tc>
              <w:tc>
                <w:tcPr>
                  <w:tcW w:w="419" w:type="pct"/>
                  <w:tcBorders>
                    <w:bottom w:val="single" w:color="auto" w:sz="12" w:space="0"/>
                  </w:tcBorders>
                  <w:vAlign w:val="center"/>
                </w:tcPr>
                <w:p>
                  <w:pPr>
                    <w:spacing w:line="240" w:lineRule="auto"/>
                    <w:ind w:firstLine="0" w:firstLineChars="0"/>
                    <w:contextualSpacing/>
                    <w:jc w:val="center"/>
                    <w:rPr>
                      <w:rFonts w:cs="Times New Roman"/>
                      <w:b/>
                      <w:bCs/>
                      <w:kern w:val="0"/>
                      <w:sz w:val="21"/>
                      <w:szCs w:val="21"/>
                    </w:rPr>
                  </w:pPr>
                  <w:r>
                    <w:rPr>
                      <w:rFonts w:hint="eastAsia" w:cs="Times New Roman"/>
                      <w:b/>
                      <w:bCs/>
                      <w:kern w:val="0"/>
                      <w:sz w:val="21"/>
                      <w:szCs w:val="21"/>
                    </w:rPr>
                    <w:t>符</w:t>
                  </w:r>
                </w:p>
                <w:p>
                  <w:pPr>
                    <w:spacing w:line="240" w:lineRule="auto"/>
                    <w:ind w:firstLine="0" w:firstLineChars="0"/>
                    <w:contextualSpacing/>
                    <w:jc w:val="center"/>
                    <w:rPr>
                      <w:rFonts w:cs="Times New Roman"/>
                      <w:b/>
                      <w:bCs/>
                      <w:kern w:val="0"/>
                      <w:sz w:val="21"/>
                      <w:szCs w:val="21"/>
                    </w:rPr>
                  </w:pPr>
                  <w:r>
                    <w:rPr>
                      <w:rFonts w:hint="eastAsia" w:cs="Times New Roman"/>
                      <w:b/>
                      <w:bCs/>
                      <w:kern w:val="0"/>
                      <w:sz w:val="21"/>
                      <w:szCs w:val="21"/>
                    </w:rPr>
                    <w:t>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324" w:type="pct"/>
                  <w:tcBorders>
                    <w:top w:val="single" w:color="auto" w:sz="12" w:space="0"/>
                    <w:bottom w:val="single" w:color="auto" w:sz="4" w:space="0"/>
                  </w:tcBorders>
                  <w:vAlign w:val="center"/>
                </w:tcPr>
                <w:p>
                  <w:pPr>
                    <w:spacing w:line="240" w:lineRule="auto"/>
                    <w:ind w:firstLine="0" w:firstLineChars="0"/>
                    <w:contextualSpacing/>
                    <w:jc w:val="center"/>
                    <w:rPr>
                      <w:rFonts w:cs="Times New Roman"/>
                      <w:b/>
                      <w:bCs/>
                      <w:kern w:val="0"/>
                      <w:sz w:val="21"/>
                      <w:szCs w:val="21"/>
                    </w:rPr>
                  </w:pPr>
                  <w:r>
                    <w:rPr>
                      <w:rFonts w:hint="eastAsia" w:cs="Times New Roman"/>
                      <w:kern w:val="0"/>
                      <w:sz w:val="21"/>
                      <w:szCs w:val="21"/>
                    </w:rPr>
                    <w:t>产业发展布局</w:t>
                  </w:r>
                </w:p>
              </w:tc>
              <w:tc>
                <w:tcPr>
                  <w:tcW w:w="2727" w:type="pct"/>
                  <w:gridSpan w:val="2"/>
                  <w:tcBorders>
                    <w:top w:val="single" w:color="auto" w:sz="12" w:space="0"/>
                    <w:bottom w:val="single" w:color="auto" w:sz="4" w:space="0"/>
                  </w:tcBorders>
                  <w:vAlign w:val="center"/>
                </w:tcPr>
                <w:p>
                  <w:pPr>
                    <w:numPr>
                      <w:ilvl w:val="0"/>
                      <w:numId w:val="1"/>
                    </w:numPr>
                    <w:spacing w:line="240" w:lineRule="auto"/>
                    <w:ind w:firstLine="0" w:firstLineChars="0"/>
                    <w:contextualSpacing/>
                    <w:rPr>
                      <w:sz w:val="21"/>
                    </w:rPr>
                  </w:pPr>
                  <w:r>
                    <w:rPr>
                      <w:rFonts w:hint="eastAsia"/>
                      <w:sz w:val="21"/>
                    </w:rPr>
                    <w:t>执行山西省、重点区域（汾渭平原）重点流域（汾河）、临汾市的空间布局准入要求、入园企业需符合园区产业定位；</w:t>
                  </w:r>
                </w:p>
                <w:p>
                  <w:pPr>
                    <w:pStyle w:val="14"/>
                    <w:numPr>
                      <w:ilvl w:val="0"/>
                      <w:numId w:val="1"/>
                    </w:numPr>
                    <w:spacing w:line="240" w:lineRule="auto"/>
                    <w:ind w:firstLine="0" w:firstLineChars="0"/>
                    <w:rPr>
                      <w:rFonts w:ascii="Times New Roman" w:hAnsi="Times New Roman"/>
                      <w:sz w:val="21"/>
                    </w:rPr>
                  </w:pPr>
                  <w:r>
                    <w:rPr>
                      <w:rFonts w:hint="eastAsia" w:ascii="Times New Roman" w:hAnsi="Times New Roman"/>
                      <w:sz w:val="21"/>
                    </w:rPr>
                    <w:t>禁止新增钢铁、铸造产能，严格限制“两高”项目盲目建设。</w:t>
                  </w:r>
                </w:p>
              </w:tc>
              <w:tc>
                <w:tcPr>
                  <w:tcW w:w="1529" w:type="pct"/>
                  <w:tcBorders>
                    <w:top w:val="single" w:color="auto" w:sz="12" w:space="0"/>
                    <w:bottom w:val="single" w:color="auto" w:sz="4" w:space="0"/>
                  </w:tcBorders>
                  <w:vAlign w:val="center"/>
                </w:tcPr>
                <w:p>
                  <w:pPr>
                    <w:numPr>
                      <w:ilvl w:val="0"/>
                      <w:numId w:val="2"/>
                    </w:numPr>
                    <w:spacing w:line="240" w:lineRule="auto"/>
                    <w:ind w:firstLine="0" w:firstLineChars="0"/>
                    <w:contextualSpacing/>
                    <w:rPr>
                      <w:rFonts w:cs="Times New Roman"/>
                      <w:kern w:val="0"/>
                      <w:sz w:val="21"/>
                      <w:szCs w:val="21"/>
                    </w:rPr>
                  </w:pPr>
                  <w:r>
                    <w:rPr>
                      <w:rFonts w:hint="eastAsia" w:cs="Times New Roman"/>
                      <w:kern w:val="0"/>
                      <w:sz w:val="21"/>
                      <w:szCs w:val="21"/>
                    </w:rPr>
                    <w:t>经表1-1分析，本项目的建设符合大阳高端装备制造产业园规划；经表1-5分析，本项目的建设符合临汾市生态环境总体准入管控要求；本项目不在临汾市城市总体规划中心城区规划范围内，项目的建设不违背临汾市城市总体规划。</w:t>
                  </w:r>
                </w:p>
                <w:p>
                  <w:pPr>
                    <w:pStyle w:val="42"/>
                    <w:spacing w:line="240" w:lineRule="auto"/>
                    <w:ind w:firstLine="0" w:firstLineChars="0"/>
                    <w:rPr>
                      <w:b/>
                      <w:bCs/>
                      <w:color w:val="auto"/>
                      <w:kern w:val="0"/>
                      <w:sz w:val="21"/>
                      <w:szCs w:val="21"/>
                    </w:rPr>
                  </w:pPr>
                  <w:r>
                    <w:rPr>
                      <w:rFonts w:hint="eastAsia"/>
                      <w:color w:val="auto"/>
                      <w:sz w:val="21"/>
                    </w:rPr>
                    <w:t>2、本项目属于废金属回收加工项目，不属于“两高”项目。</w:t>
                  </w:r>
                </w:p>
              </w:tc>
              <w:tc>
                <w:tcPr>
                  <w:tcW w:w="419" w:type="pct"/>
                  <w:tcBorders>
                    <w:top w:val="single" w:color="auto" w:sz="12" w:space="0"/>
                    <w:bottom w:val="single" w:color="auto" w:sz="4" w:space="0"/>
                  </w:tcBorders>
                  <w:vAlign w:val="center"/>
                </w:tcPr>
                <w:p>
                  <w:pPr>
                    <w:spacing w:line="240" w:lineRule="auto"/>
                    <w:ind w:firstLine="0" w:firstLineChars="0"/>
                    <w:contextualSpacing/>
                    <w:jc w:val="center"/>
                    <w:rPr>
                      <w:rFonts w:cs="Times New Roman"/>
                      <w:b/>
                      <w:bCs/>
                      <w:kern w:val="0"/>
                      <w:sz w:val="21"/>
                      <w:szCs w:val="21"/>
                    </w:rPr>
                  </w:pPr>
                  <w:r>
                    <w:rPr>
                      <w:rFonts w:hint="eastAsia" w:cs="Times New Roman"/>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324" w:type="pct"/>
                  <w:vMerge w:val="restart"/>
                  <w:tcBorders>
                    <w:top w:val="single" w:color="auto" w:sz="4" w:space="0"/>
                    <w:tl2br w:val="nil"/>
                    <w:tr2bl w:val="nil"/>
                  </w:tcBorders>
                  <w:vAlign w:val="center"/>
                </w:tcPr>
                <w:p>
                  <w:pPr>
                    <w:spacing w:line="240" w:lineRule="auto"/>
                    <w:ind w:firstLine="0" w:firstLineChars="0"/>
                    <w:contextualSpacing/>
                    <w:jc w:val="center"/>
                    <w:rPr>
                      <w:rFonts w:cs="Times New Roman"/>
                      <w:kern w:val="0"/>
                      <w:sz w:val="21"/>
                      <w:szCs w:val="21"/>
                    </w:rPr>
                  </w:pPr>
                  <w:r>
                    <w:rPr>
                      <w:rFonts w:cs="Times New Roman"/>
                      <w:kern w:val="0"/>
                      <w:sz w:val="21"/>
                      <w:szCs w:val="21"/>
                    </w:rPr>
                    <w:t>空间布局约束</w:t>
                  </w:r>
                </w:p>
              </w:tc>
              <w:tc>
                <w:tcPr>
                  <w:tcW w:w="460" w:type="pct"/>
                  <w:tcBorders>
                    <w:top w:val="single" w:color="auto" w:sz="4" w:space="0"/>
                    <w:tl2br w:val="nil"/>
                    <w:tr2bl w:val="nil"/>
                  </w:tcBorders>
                  <w:vAlign w:val="center"/>
                </w:tcPr>
                <w:p>
                  <w:pPr>
                    <w:spacing w:line="240" w:lineRule="auto"/>
                    <w:ind w:firstLine="0" w:firstLineChars="0"/>
                    <w:contextualSpacing/>
                    <w:jc w:val="center"/>
                    <w:rPr>
                      <w:rFonts w:cs="Times New Roman"/>
                      <w:kern w:val="0"/>
                      <w:sz w:val="21"/>
                      <w:szCs w:val="21"/>
                    </w:rPr>
                  </w:pPr>
                  <w:r>
                    <w:rPr>
                      <w:rFonts w:cs="Times New Roman"/>
                      <w:kern w:val="0"/>
                      <w:sz w:val="21"/>
                      <w:szCs w:val="21"/>
                    </w:rPr>
                    <w:t>生态空间</w:t>
                  </w:r>
                </w:p>
              </w:tc>
              <w:tc>
                <w:tcPr>
                  <w:tcW w:w="2266" w:type="pct"/>
                  <w:tcBorders>
                    <w:top w:val="single" w:color="auto" w:sz="4" w:space="0"/>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大阳高端装备制造产业园在乔李机场净空保护区域内，禁止修建超高建筑物、构筑物或搭建施工塔架等设施设备。</w:t>
                  </w:r>
                </w:p>
              </w:tc>
              <w:tc>
                <w:tcPr>
                  <w:tcW w:w="1529" w:type="pct"/>
                  <w:tcBorders>
                    <w:top w:val="single" w:color="auto" w:sz="4" w:space="0"/>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本项目车间高度为10m，不属于超高建筑。</w:t>
                  </w:r>
                </w:p>
              </w:tc>
              <w:tc>
                <w:tcPr>
                  <w:tcW w:w="419" w:type="pct"/>
                  <w:tcBorders>
                    <w:top w:val="single" w:color="auto" w:sz="4" w:space="0"/>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4" w:type="pct"/>
                  <w:vMerge w:val="continue"/>
                  <w:tcBorders>
                    <w:tl2br w:val="nil"/>
                    <w:tr2bl w:val="nil"/>
                  </w:tcBorders>
                  <w:vAlign w:val="center"/>
                </w:tcPr>
                <w:p>
                  <w:pPr>
                    <w:spacing w:line="240" w:lineRule="auto"/>
                    <w:ind w:firstLine="0" w:firstLineChars="0"/>
                    <w:contextualSpacing/>
                    <w:jc w:val="center"/>
                    <w:rPr>
                      <w:rFonts w:cs="Times New Roman"/>
                      <w:kern w:val="0"/>
                      <w:sz w:val="21"/>
                      <w:szCs w:val="21"/>
                    </w:rPr>
                  </w:pPr>
                </w:p>
              </w:tc>
              <w:tc>
                <w:tcPr>
                  <w:tcW w:w="460" w:type="pct"/>
                  <w:tcBorders>
                    <w:tl2br w:val="nil"/>
                    <w:tr2bl w:val="nil"/>
                  </w:tcBorders>
                  <w:vAlign w:val="center"/>
                </w:tcPr>
                <w:p>
                  <w:pPr>
                    <w:spacing w:line="240" w:lineRule="auto"/>
                    <w:ind w:firstLine="0" w:firstLineChars="0"/>
                    <w:contextualSpacing/>
                    <w:jc w:val="center"/>
                    <w:rPr>
                      <w:rFonts w:cs="Times New Roman"/>
                      <w:kern w:val="0"/>
                      <w:sz w:val="21"/>
                      <w:szCs w:val="21"/>
                    </w:rPr>
                  </w:pPr>
                  <w:r>
                    <w:rPr>
                      <w:rFonts w:cs="Times New Roman"/>
                      <w:kern w:val="0"/>
                      <w:sz w:val="21"/>
                      <w:szCs w:val="21"/>
                    </w:rPr>
                    <w:t>环境管控</w:t>
                  </w:r>
                </w:p>
              </w:tc>
              <w:tc>
                <w:tcPr>
                  <w:tcW w:w="2266" w:type="pct"/>
                  <w:tcBorders>
                    <w:tl2br w:val="nil"/>
                    <w:tr2bl w:val="nil"/>
                  </w:tcBorders>
                  <w:vAlign w:val="center"/>
                </w:tcPr>
                <w:p>
                  <w:pPr>
                    <w:spacing w:line="240" w:lineRule="auto"/>
                    <w:ind w:firstLine="0" w:firstLineChars="0"/>
                    <w:contextualSpacing/>
                    <w:jc w:val="left"/>
                    <w:rPr>
                      <w:rFonts w:cs="Times New Roman"/>
                      <w:kern w:val="0"/>
                      <w:sz w:val="21"/>
                      <w:szCs w:val="21"/>
                    </w:rPr>
                  </w:pPr>
                  <w:r>
                    <w:rPr>
                      <w:rFonts w:hint="eastAsia" w:cs="Times New Roman"/>
                      <w:kern w:val="0"/>
                      <w:sz w:val="21"/>
                      <w:szCs w:val="21"/>
                    </w:rPr>
                    <w:t>1、大气环境</w:t>
                  </w:r>
                  <w:r>
                    <w:rPr>
                      <w:rFonts w:cs="Times New Roman"/>
                      <w:kern w:val="0"/>
                      <w:sz w:val="21"/>
                      <w:szCs w:val="21"/>
                    </w:rPr>
                    <w:t>防护距离内不</w:t>
                  </w:r>
                  <w:r>
                    <w:rPr>
                      <w:rFonts w:hint="eastAsia" w:cs="Times New Roman"/>
                      <w:kern w:val="0"/>
                      <w:sz w:val="21"/>
                      <w:szCs w:val="21"/>
                    </w:rPr>
                    <w:t>应</w:t>
                  </w:r>
                  <w:r>
                    <w:rPr>
                      <w:rFonts w:cs="Times New Roman"/>
                      <w:kern w:val="0"/>
                      <w:sz w:val="21"/>
                      <w:szCs w:val="21"/>
                    </w:rPr>
                    <w:t>有长期居住的人群。</w:t>
                  </w:r>
                </w:p>
                <w:p>
                  <w:pPr>
                    <w:spacing w:line="240" w:lineRule="auto"/>
                    <w:ind w:firstLine="0" w:firstLineChars="0"/>
                    <w:contextualSpacing/>
                    <w:jc w:val="left"/>
                    <w:rPr>
                      <w:rFonts w:cs="Times New Roman"/>
                      <w:kern w:val="0"/>
                      <w:sz w:val="21"/>
                      <w:szCs w:val="21"/>
                    </w:rPr>
                  </w:pPr>
                  <w:r>
                    <w:rPr>
                      <w:rFonts w:hint="eastAsia" w:cs="Times New Roman"/>
                      <w:kern w:val="0"/>
                      <w:sz w:val="21"/>
                      <w:szCs w:val="21"/>
                    </w:rPr>
                    <w:t>2、环境风险防范区不得规划建设大型商场、医院、学校等敏感建筑</w:t>
                  </w:r>
                  <w:r>
                    <w:rPr>
                      <w:rFonts w:cs="Times New Roman"/>
                      <w:kern w:val="0"/>
                      <w:sz w:val="21"/>
                      <w:szCs w:val="21"/>
                    </w:rPr>
                    <w:t>。</w:t>
                  </w:r>
                </w:p>
              </w:tc>
              <w:tc>
                <w:tcPr>
                  <w:tcW w:w="1529" w:type="pct"/>
                  <w:tcBorders>
                    <w:tl2br w:val="nil"/>
                    <w:tr2bl w:val="nil"/>
                  </w:tcBorders>
                  <w:vAlign w:val="center"/>
                </w:tcPr>
                <w:p>
                  <w:pPr>
                    <w:spacing w:line="240" w:lineRule="auto"/>
                    <w:ind w:firstLine="0" w:firstLineChars="0"/>
                    <w:contextualSpacing/>
                    <w:jc w:val="left"/>
                    <w:rPr>
                      <w:rFonts w:cs="Times New Roman"/>
                      <w:kern w:val="0"/>
                      <w:sz w:val="21"/>
                      <w:szCs w:val="21"/>
                    </w:rPr>
                  </w:pPr>
                  <w:r>
                    <w:rPr>
                      <w:rFonts w:hint="eastAsia" w:cs="Times New Roman"/>
                      <w:kern w:val="0"/>
                      <w:sz w:val="21"/>
                      <w:szCs w:val="21"/>
                    </w:rPr>
                    <w:t>1、本项目属于废金属回收加工项目，无大气环境防护距离要求，距离项目最近村庄为西北2</w:t>
                  </w:r>
                  <w:r>
                    <w:rPr>
                      <w:rFonts w:cs="Times New Roman"/>
                      <w:kern w:val="0"/>
                      <w:sz w:val="21"/>
                      <w:szCs w:val="21"/>
                    </w:rPr>
                    <w:t>0m</w:t>
                  </w:r>
                  <w:r>
                    <w:rPr>
                      <w:rFonts w:hint="eastAsia" w:cs="Times New Roman"/>
                      <w:kern w:val="0"/>
                      <w:sz w:val="21"/>
                      <w:szCs w:val="21"/>
                    </w:rPr>
                    <w:t>处的新郭行村。</w:t>
                  </w:r>
                </w:p>
                <w:p>
                  <w:pPr>
                    <w:spacing w:line="240" w:lineRule="auto"/>
                    <w:ind w:firstLine="0" w:firstLineChars="0"/>
                    <w:contextualSpacing/>
                    <w:jc w:val="left"/>
                  </w:pPr>
                  <w:r>
                    <w:rPr>
                      <w:rFonts w:hint="eastAsia" w:cs="Times New Roman"/>
                      <w:kern w:val="0"/>
                      <w:sz w:val="21"/>
                      <w:szCs w:val="21"/>
                    </w:rPr>
                    <w:t>2、本项目风险物质数量与临界量比＜1，不属于重大风险源。在采取环境风险防控措施后，环境风险事件发生概率很小。</w:t>
                  </w:r>
                </w:p>
              </w:tc>
              <w:tc>
                <w:tcPr>
                  <w:tcW w:w="419" w:type="pct"/>
                  <w:tcBorders>
                    <w:tl2br w:val="nil"/>
                    <w:tr2bl w:val="nil"/>
                  </w:tcBorders>
                  <w:vAlign w:val="center"/>
                </w:tcPr>
                <w:p>
                  <w:pPr>
                    <w:spacing w:line="240" w:lineRule="auto"/>
                    <w:ind w:firstLine="0" w:firstLineChars="0"/>
                    <w:contextualSpacing/>
                    <w:jc w:val="left"/>
                    <w:rPr>
                      <w:rFonts w:cs="Times New Roman"/>
                      <w:kern w:val="0"/>
                      <w:sz w:val="21"/>
                      <w:szCs w:val="21"/>
                    </w:rPr>
                  </w:pPr>
                  <w:r>
                    <w:rPr>
                      <w:rFonts w:hint="eastAsia" w:cs="Times New Roman"/>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4" w:type="pct"/>
                  <w:tcBorders>
                    <w:tl2br w:val="nil"/>
                    <w:tr2bl w:val="nil"/>
                  </w:tcBorders>
                  <w:vAlign w:val="center"/>
                </w:tcPr>
                <w:p>
                  <w:pPr>
                    <w:spacing w:line="240" w:lineRule="auto"/>
                    <w:ind w:firstLine="0" w:firstLineChars="0"/>
                    <w:contextualSpacing/>
                    <w:jc w:val="center"/>
                    <w:rPr>
                      <w:rFonts w:cs="Times New Roman"/>
                      <w:kern w:val="0"/>
                      <w:sz w:val="21"/>
                      <w:szCs w:val="21"/>
                    </w:rPr>
                  </w:pPr>
                  <w:r>
                    <w:rPr>
                      <w:rFonts w:cs="Times New Roman"/>
                      <w:kern w:val="0"/>
                      <w:sz w:val="21"/>
                      <w:szCs w:val="21"/>
                    </w:rPr>
                    <w:t>污染物排放管控</w:t>
                  </w:r>
                </w:p>
              </w:tc>
              <w:tc>
                <w:tcPr>
                  <w:tcW w:w="2727" w:type="pct"/>
                  <w:gridSpan w:val="2"/>
                  <w:tcBorders>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1、执行山西省、重点区域（汾渭平原）、重点流域（汾河）、临汾市的污染物排放管控要求。</w:t>
                  </w:r>
                </w:p>
                <w:p>
                  <w:pPr>
                    <w:spacing w:line="240" w:lineRule="auto"/>
                    <w:ind w:firstLine="0" w:firstLineChars="0"/>
                    <w:contextualSpacing/>
                    <w:rPr>
                      <w:rFonts w:cs="Times New Roman"/>
                      <w:kern w:val="0"/>
                      <w:sz w:val="21"/>
                      <w:szCs w:val="21"/>
                    </w:rPr>
                  </w:pPr>
                  <w:r>
                    <w:rPr>
                      <w:rFonts w:hint="eastAsia" w:cs="Times New Roman"/>
                      <w:kern w:val="0"/>
                      <w:sz w:val="21"/>
                      <w:szCs w:val="21"/>
                    </w:rPr>
                    <w:t>2、排放二氧化硫、氮氧化物、烟粉尘和挥发性有机污染物的项目，必须落实相关污染物总量减排方案，上一年度环境空气质量相关污染物年平均浓度不达标的，应进行倍量削减替代。</w:t>
                  </w:r>
                </w:p>
                <w:p>
                  <w:pPr>
                    <w:spacing w:line="240" w:lineRule="auto"/>
                    <w:ind w:firstLine="0" w:firstLineChars="0"/>
                    <w:contextualSpacing/>
                    <w:rPr>
                      <w:rFonts w:cs="Times New Roman"/>
                      <w:kern w:val="0"/>
                      <w:sz w:val="21"/>
                      <w:szCs w:val="21"/>
                    </w:rPr>
                  </w:pPr>
                  <w:r>
                    <w:rPr>
                      <w:rFonts w:hint="eastAsia" w:cs="Times New Roman"/>
                      <w:kern w:val="0"/>
                      <w:sz w:val="21"/>
                      <w:szCs w:val="21"/>
                    </w:rPr>
                    <w:t>3、大气污染物排放全面执行大气污染物特别排放限值。有更严格地方大气污染物排放标准或控制要求的，从严执行。</w:t>
                  </w:r>
                </w:p>
                <w:p>
                  <w:pPr>
                    <w:spacing w:line="240" w:lineRule="auto"/>
                    <w:ind w:firstLine="0" w:firstLineChars="0"/>
                    <w:contextualSpacing/>
                    <w:rPr>
                      <w:rFonts w:cs="Times New Roman"/>
                      <w:kern w:val="0"/>
                      <w:sz w:val="21"/>
                      <w:szCs w:val="21"/>
                    </w:rPr>
                  </w:pPr>
                  <w:r>
                    <w:rPr>
                      <w:rFonts w:hint="eastAsia" w:cs="Times New Roman"/>
                      <w:kern w:val="0"/>
                      <w:sz w:val="21"/>
                      <w:szCs w:val="21"/>
                    </w:rPr>
                    <w:t>4、取消自备燃煤锅炉，实现集中供热。</w:t>
                  </w:r>
                </w:p>
                <w:p>
                  <w:pPr>
                    <w:spacing w:line="240" w:lineRule="auto"/>
                    <w:ind w:firstLine="0" w:firstLineChars="0"/>
                    <w:contextualSpacing/>
                    <w:rPr>
                      <w:rFonts w:cs="Times New Roman"/>
                      <w:kern w:val="0"/>
                      <w:sz w:val="21"/>
                      <w:szCs w:val="21"/>
                    </w:rPr>
                  </w:pPr>
                  <w:r>
                    <w:rPr>
                      <w:rFonts w:hint="eastAsia" w:cs="Times New Roman"/>
                      <w:kern w:val="0"/>
                      <w:sz w:val="21"/>
                      <w:szCs w:val="21"/>
                    </w:rPr>
                    <w:t>5、城市污水纳管标准需达到《污水排入城镇下水道水质标准》(GB/T31962-2015)中A级标准:工业企业纳管标准需达到《污水综合排放标准》(GB8978-1996)中三级标准。</w:t>
                  </w:r>
                </w:p>
                <w:p>
                  <w:pPr>
                    <w:spacing w:line="240" w:lineRule="auto"/>
                    <w:ind w:firstLine="0" w:firstLineChars="0"/>
                    <w:contextualSpacing/>
                    <w:rPr>
                      <w:rFonts w:cs="Times New Roman"/>
                      <w:kern w:val="0"/>
                      <w:sz w:val="21"/>
                      <w:szCs w:val="21"/>
                    </w:rPr>
                  </w:pPr>
                  <w:r>
                    <w:rPr>
                      <w:rFonts w:hint="eastAsia" w:cs="Times New Roman"/>
                      <w:kern w:val="0"/>
                      <w:sz w:val="21"/>
                      <w:szCs w:val="21"/>
                    </w:rPr>
                    <w:t>6大阳高端装备制造产业园污水集中处理后全部回用不外排。</w:t>
                  </w:r>
                </w:p>
              </w:tc>
              <w:tc>
                <w:tcPr>
                  <w:tcW w:w="1529" w:type="pct"/>
                  <w:tcBorders>
                    <w:tl2br w:val="nil"/>
                    <w:tr2bl w:val="nil"/>
                  </w:tcBorders>
                  <w:vAlign w:val="center"/>
                </w:tcPr>
                <w:p>
                  <w:pPr>
                    <w:spacing w:line="240" w:lineRule="auto"/>
                    <w:ind w:firstLine="210" w:firstLineChars="100"/>
                    <w:contextualSpacing/>
                    <w:rPr>
                      <w:rFonts w:cs="Times New Roman"/>
                      <w:kern w:val="0"/>
                      <w:sz w:val="21"/>
                      <w:szCs w:val="21"/>
                    </w:rPr>
                  </w:pPr>
                  <w:r>
                    <w:rPr>
                      <w:rFonts w:hint="eastAsia" w:cs="Times New Roman"/>
                      <w:kern w:val="0"/>
                      <w:sz w:val="21"/>
                      <w:szCs w:val="21"/>
                    </w:rPr>
                    <w:t>项目废气主要是无组织颗粒物排放，在采取措施后可满足《大气污染物综合排放标准》（GB16297-1996）中表2规定的排放限值。</w:t>
                  </w:r>
                </w:p>
                <w:p>
                  <w:pPr>
                    <w:spacing w:line="240" w:lineRule="auto"/>
                    <w:ind w:firstLine="210" w:firstLineChars="100"/>
                    <w:contextualSpacing/>
                    <w:rPr>
                      <w:rFonts w:cs="Times New Roman"/>
                      <w:kern w:val="0"/>
                      <w:sz w:val="21"/>
                      <w:szCs w:val="21"/>
                    </w:rPr>
                  </w:pPr>
                  <w:r>
                    <w:rPr>
                      <w:rFonts w:hint="eastAsia" w:cs="Times New Roman"/>
                      <w:kern w:val="0"/>
                      <w:sz w:val="21"/>
                      <w:szCs w:val="21"/>
                    </w:rPr>
                    <w:t>本项目采用电采暖。</w:t>
                  </w:r>
                </w:p>
                <w:p>
                  <w:pPr>
                    <w:spacing w:line="240" w:lineRule="auto"/>
                    <w:ind w:firstLine="210" w:firstLineChars="100"/>
                    <w:contextualSpacing/>
                    <w:rPr>
                      <w:sz w:val="21"/>
                    </w:rPr>
                  </w:pPr>
                  <w:r>
                    <w:rPr>
                      <w:rFonts w:hint="eastAsia" w:cs="Times New Roman"/>
                      <w:kern w:val="0"/>
                      <w:sz w:val="21"/>
                      <w:szCs w:val="21"/>
                    </w:rPr>
                    <w:t>本项目无生产废水，生活废水依托东方恒略生活污水处理站处理后，回用于高炉冲渣。</w:t>
                  </w:r>
                </w:p>
              </w:tc>
              <w:tc>
                <w:tcPr>
                  <w:tcW w:w="419" w:type="pct"/>
                  <w:tcBorders>
                    <w:tl2br w:val="nil"/>
                    <w:tr2bl w:val="nil"/>
                  </w:tcBorders>
                  <w:vAlign w:val="center"/>
                </w:tcPr>
                <w:p>
                  <w:pPr>
                    <w:spacing w:line="240" w:lineRule="auto"/>
                    <w:ind w:firstLine="0" w:firstLineChars="0"/>
                    <w:contextualSpacing/>
                    <w:jc w:val="left"/>
                    <w:rPr>
                      <w:rFonts w:cs="Times New Roman"/>
                      <w:kern w:val="0"/>
                      <w:sz w:val="21"/>
                      <w:szCs w:val="21"/>
                    </w:rPr>
                  </w:pPr>
                  <w:r>
                    <w:rPr>
                      <w:rFonts w:hint="eastAsia" w:cs="Times New Roman"/>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4" w:type="pct"/>
                  <w:vMerge w:val="restart"/>
                  <w:tcBorders>
                    <w:tl2br w:val="nil"/>
                    <w:tr2bl w:val="nil"/>
                  </w:tcBorders>
                  <w:vAlign w:val="center"/>
                </w:tcPr>
                <w:p>
                  <w:pPr>
                    <w:spacing w:line="240" w:lineRule="auto"/>
                    <w:ind w:firstLine="0" w:firstLineChars="0"/>
                    <w:contextualSpacing/>
                    <w:jc w:val="center"/>
                    <w:rPr>
                      <w:rFonts w:cs="Times New Roman"/>
                      <w:kern w:val="0"/>
                      <w:sz w:val="21"/>
                      <w:szCs w:val="21"/>
                    </w:rPr>
                  </w:pPr>
                  <w:r>
                    <w:rPr>
                      <w:rFonts w:cs="Times New Roman"/>
                      <w:kern w:val="0"/>
                      <w:sz w:val="21"/>
                      <w:szCs w:val="21"/>
                    </w:rPr>
                    <w:t>环境风险防控</w:t>
                  </w:r>
                </w:p>
              </w:tc>
              <w:tc>
                <w:tcPr>
                  <w:tcW w:w="460" w:type="pct"/>
                  <w:tcBorders>
                    <w:tl2br w:val="nil"/>
                    <w:tr2bl w:val="nil"/>
                  </w:tcBorders>
                  <w:vAlign w:val="center"/>
                </w:tcPr>
                <w:p>
                  <w:pPr>
                    <w:spacing w:line="240" w:lineRule="auto"/>
                    <w:ind w:firstLine="0" w:firstLineChars="0"/>
                    <w:contextualSpacing/>
                    <w:jc w:val="center"/>
                    <w:rPr>
                      <w:rFonts w:cs="Times New Roman"/>
                      <w:kern w:val="0"/>
                      <w:sz w:val="21"/>
                      <w:szCs w:val="21"/>
                    </w:rPr>
                  </w:pPr>
                  <w:r>
                    <w:rPr>
                      <w:rFonts w:cs="Times New Roman"/>
                      <w:kern w:val="0"/>
                      <w:sz w:val="21"/>
                      <w:szCs w:val="21"/>
                    </w:rPr>
                    <w:t>风险源管控</w:t>
                  </w:r>
                </w:p>
              </w:tc>
              <w:tc>
                <w:tcPr>
                  <w:tcW w:w="2266" w:type="pct"/>
                  <w:tcBorders>
                    <w:tl2br w:val="nil"/>
                    <w:tr2bl w:val="nil"/>
                  </w:tcBorders>
                  <w:vAlign w:val="center"/>
                </w:tcPr>
                <w:p>
                  <w:pPr>
                    <w:spacing w:line="240" w:lineRule="auto"/>
                    <w:ind w:firstLine="0" w:firstLineChars="0"/>
                    <w:contextualSpacing/>
                    <w:jc w:val="center"/>
                    <w:rPr>
                      <w:rFonts w:cs="Times New Roman"/>
                      <w:kern w:val="0"/>
                      <w:sz w:val="21"/>
                      <w:szCs w:val="21"/>
                    </w:rPr>
                  </w:pPr>
                  <w:r>
                    <w:rPr>
                      <w:rFonts w:hint="eastAsia" w:cs="Times New Roman"/>
                      <w:kern w:val="0"/>
                      <w:sz w:val="21"/>
                      <w:szCs w:val="21"/>
                    </w:rPr>
                    <w:t>执行山西省及临汾市对高新区的风险源管控要求。</w:t>
                  </w:r>
                </w:p>
              </w:tc>
              <w:tc>
                <w:tcPr>
                  <w:tcW w:w="1529" w:type="pct"/>
                  <w:tcBorders>
                    <w:tl2br w:val="nil"/>
                    <w:tr2bl w:val="nil"/>
                  </w:tcBorders>
                  <w:vAlign w:val="center"/>
                </w:tcPr>
                <w:p>
                  <w:pPr>
                    <w:pStyle w:val="9"/>
                    <w:spacing w:line="240" w:lineRule="auto"/>
                    <w:ind w:firstLine="0" w:firstLineChars="0"/>
                    <w:jc w:val="both"/>
                    <w:rPr>
                      <w:sz w:val="21"/>
                      <w:szCs w:val="21"/>
                    </w:rPr>
                  </w:pPr>
                  <w:r>
                    <w:rPr>
                      <w:rFonts w:hint="eastAsia"/>
                      <w:sz w:val="21"/>
                      <w:szCs w:val="21"/>
                    </w:rPr>
                    <w:t>本项目风险物质数量与临界量比＜1，不属于重大风险源。</w:t>
                  </w:r>
                </w:p>
              </w:tc>
              <w:tc>
                <w:tcPr>
                  <w:tcW w:w="419" w:type="pct"/>
                  <w:tcBorders>
                    <w:tl2br w:val="nil"/>
                    <w:tr2bl w:val="nil"/>
                  </w:tcBorders>
                  <w:vAlign w:val="center"/>
                </w:tcPr>
                <w:p>
                  <w:pPr>
                    <w:spacing w:line="240" w:lineRule="auto"/>
                    <w:ind w:firstLine="0" w:firstLineChars="0"/>
                    <w:contextualSpacing/>
                    <w:jc w:val="center"/>
                    <w:rPr>
                      <w:rFonts w:cs="Times New Roman"/>
                      <w:kern w:val="0"/>
                      <w:sz w:val="21"/>
                      <w:szCs w:val="21"/>
                    </w:rPr>
                  </w:pPr>
                  <w:r>
                    <w:rPr>
                      <w:rFonts w:hint="eastAsia" w:cs="Times New Roman"/>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4" w:type="pct"/>
                  <w:vMerge w:val="continue"/>
                  <w:tcBorders>
                    <w:tl2br w:val="nil"/>
                    <w:tr2bl w:val="nil"/>
                  </w:tcBorders>
                  <w:vAlign w:val="center"/>
                </w:tcPr>
                <w:p>
                  <w:pPr>
                    <w:spacing w:line="240" w:lineRule="auto"/>
                    <w:ind w:firstLine="0" w:firstLineChars="0"/>
                    <w:contextualSpacing/>
                    <w:jc w:val="center"/>
                    <w:rPr>
                      <w:rFonts w:cs="Times New Roman"/>
                      <w:kern w:val="0"/>
                      <w:sz w:val="21"/>
                      <w:szCs w:val="21"/>
                    </w:rPr>
                  </w:pPr>
                </w:p>
              </w:tc>
              <w:tc>
                <w:tcPr>
                  <w:tcW w:w="460" w:type="pct"/>
                  <w:tcBorders>
                    <w:tl2br w:val="nil"/>
                    <w:tr2bl w:val="nil"/>
                  </w:tcBorders>
                  <w:vAlign w:val="center"/>
                </w:tcPr>
                <w:p>
                  <w:pPr>
                    <w:spacing w:line="240" w:lineRule="auto"/>
                    <w:ind w:firstLine="0" w:firstLineChars="0"/>
                    <w:contextualSpacing/>
                    <w:jc w:val="center"/>
                    <w:rPr>
                      <w:rFonts w:cs="Times New Roman"/>
                      <w:kern w:val="0"/>
                      <w:sz w:val="21"/>
                      <w:szCs w:val="21"/>
                    </w:rPr>
                  </w:pPr>
                  <w:r>
                    <w:rPr>
                      <w:rFonts w:cs="Times New Roman"/>
                      <w:kern w:val="0"/>
                      <w:sz w:val="21"/>
                      <w:szCs w:val="21"/>
                    </w:rPr>
                    <w:t>行业准入负面清单</w:t>
                  </w:r>
                </w:p>
              </w:tc>
              <w:tc>
                <w:tcPr>
                  <w:tcW w:w="2266" w:type="pct"/>
                  <w:tcBorders>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1、不符合国家产业政策、不符合高新区产业发展方向的项目。</w:t>
                  </w:r>
                </w:p>
                <w:p>
                  <w:pPr>
                    <w:spacing w:line="240" w:lineRule="auto"/>
                    <w:ind w:firstLine="0" w:firstLineChars="0"/>
                    <w:contextualSpacing/>
                    <w:rPr>
                      <w:rFonts w:cs="Times New Roman"/>
                      <w:kern w:val="0"/>
                      <w:sz w:val="21"/>
                      <w:szCs w:val="21"/>
                    </w:rPr>
                  </w:pPr>
                  <w:r>
                    <w:rPr>
                      <w:rFonts w:hint="eastAsia" w:cs="Times New Roman"/>
                      <w:kern w:val="0"/>
                      <w:sz w:val="21"/>
                      <w:szCs w:val="21"/>
                    </w:rPr>
                    <w:t>2、不符合环境影响评价制度、“三同时”制度、排污总量控制制度、不达标、不符合清洁生产要求的项目。</w:t>
                  </w:r>
                </w:p>
                <w:p>
                  <w:pPr>
                    <w:spacing w:line="240" w:lineRule="auto"/>
                    <w:ind w:firstLine="0" w:firstLineChars="0"/>
                    <w:contextualSpacing/>
                    <w:rPr>
                      <w:rFonts w:cs="Times New Roman"/>
                      <w:kern w:val="0"/>
                      <w:sz w:val="21"/>
                      <w:szCs w:val="21"/>
                    </w:rPr>
                  </w:pPr>
                  <w:r>
                    <w:rPr>
                      <w:rFonts w:hint="eastAsia" w:cs="Times New Roman"/>
                      <w:kern w:val="0"/>
                      <w:sz w:val="21"/>
                      <w:szCs w:val="21"/>
                    </w:rPr>
                    <w:t>3、严禁新增钢铁产能。</w:t>
                  </w:r>
                </w:p>
                <w:p>
                  <w:pPr>
                    <w:spacing w:line="240" w:lineRule="auto"/>
                    <w:ind w:firstLine="0" w:firstLineChars="0"/>
                    <w:contextualSpacing/>
                    <w:rPr>
                      <w:rFonts w:cs="Times New Roman"/>
                      <w:kern w:val="0"/>
                      <w:sz w:val="21"/>
                      <w:szCs w:val="21"/>
                    </w:rPr>
                  </w:pPr>
                  <w:r>
                    <w:rPr>
                      <w:rFonts w:hint="eastAsia" w:cs="Times New Roman"/>
                      <w:kern w:val="0"/>
                      <w:sz w:val="21"/>
                      <w:szCs w:val="21"/>
                    </w:rPr>
                    <w:t>4、严格限制“两高”项目盲目建设；</w:t>
                  </w:r>
                </w:p>
                <w:p>
                  <w:pPr>
                    <w:spacing w:line="240" w:lineRule="auto"/>
                    <w:ind w:firstLine="0" w:firstLineChars="0"/>
                    <w:contextualSpacing/>
                    <w:rPr>
                      <w:rFonts w:cs="Times New Roman"/>
                      <w:kern w:val="0"/>
                      <w:sz w:val="21"/>
                      <w:szCs w:val="21"/>
                    </w:rPr>
                  </w:pPr>
                  <w:r>
                    <w:rPr>
                      <w:rFonts w:hint="eastAsia" w:cs="Times New Roman"/>
                      <w:kern w:val="0"/>
                      <w:sz w:val="21"/>
                      <w:szCs w:val="21"/>
                    </w:rPr>
                    <w:t>5、涉高VOC含量溶剂型涂料、油墨、胶粘剂等生产和使用的项目。</w:t>
                  </w:r>
                </w:p>
                <w:p>
                  <w:pPr>
                    <w:spacing w:line="240" w:lineRule="auto"/>
                    <w:ind w:firstLine="0" w:firstLineChars="0"/>
                    <w:contextualSpacing/>
                    <w:rPr>
                      <w:rFonts w:cs="Times New Roman"/>
                      <w:kern w:val="0"/>
                      <w:sz w:val="21"/>
                      <w:szCs w:val="21"/>
                    </w:rPr>
                  </w:pPr>
                  <w:r>
                    <w:rPr>
                      <w:rFonts w:hint="eastAsia" w:cs="Times New Roman"/>
                      <w:kern w:val="0"/>
                      <w:sz w:val="21"/>
                      <w:szCs w:val="21"/>
                    </w:rPr>
                    <w:t>6、入区企业须采用先进的生产工艺，清洁生产水平应达到国内清洁生产先进水平。</w:t>
                  </w:r>
                </w:p>
              </w:tc>
              <w:tc>
                <w:tcPr>
                  <w:tcW w:w="1529" w:type="pct"/>
                  <w:tcBorders>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1、根据《产业结构调整指导目录（2019年本）》和《国家发展改革委关于修改〈产业结构调整指导目录（2019年本）〉的决定》，本项目为废金属回收加工项目，属于“鼓励类”；根据表1-1分析，本项目符合大阳高端装备制造产业园产业发展规划。</w:t>
                  </w:r>
                </w:p>
                <w:p>
                  <w:pPr>
                    <w:spacing w:line="240" w:lineRule="auto"/>
                    <w:ind w:firstLine="0" w:firstLineChars="0"/>
                    <w:contextualSpacing/>
                    <w:rPr>
                      <w:rFonts w:cs="Times New Roman"/>
                      <w:kern w:val="0"/>
                      <w:sz w:val="21"/>
                      <w:szCs w:val="21"/>
                    </w:rPr>
                  </w:pPr>
                  <w:r>
                    <w:rPr>
                      <w:rFonts w:hint="eastAsia" w:cs="Times New Roman"/>
                      <w:kern w:val="0"/>
                      <w:sz w:val="21"/>
                      <w:szCs w:val="21"/>
                    </w:rPr>
                    <w:t>2、本项目严格执行</w:t>
                  </w:r>
                  <w:r>
                    <w:rPr>
                      <w:rFonts w:cs="Times New Roman"/>
                      <w:kern w:val="0"/>
                      <w:sz w:val="21"/>
                      <w:szCs w:val="21"/>
                    </w:rPr>
                    <w:t>环境影响评价制度、</w:t>
                  </w:r>
                  <w:r>
                    <w:rPr>
                      <w:rFonts w:hint="eastAsia" w:cs="Times New Roman"/>
                      <w:kern w:val="0"/>
                      <w:sz w:val="21"/>
                      <w:szCs w:val="21"/>
                    </w:rPr>
                    <w:t>“</w:t>
                  </w:r>
                  <w:r>
                    <w:rPr>
                      <w:rFonts w:cs="Times New Roman"/>
                      <w:kern w:val="0"/>
                      <w:sz w:val="21"/>
                      <w:szCs w:val="21"/>
                    </w:rPr>
                    <w:t>三同时</w:t>
                  </w:r>
                  <w:r>
                    <w:rPr>
                      <w:rFonts w:hint="eastAsia" w:cs="Times New Roman"/>
                      <w:kern w:val="0"/>
                      <w:sz w:val="21"/>
                      <w:szCs w:val="21"/>
                    </w:rPr>
                    <w:t>”</w:t>
                  </w:r>
                  <w:r>
                    <w:rPr>
                      <w:rFonts w:cs="Times New Roman"/>
                      <w:kern w:val="0"/>
                      <w:sz w:val="21"/>
                      <w:szCs w:val="21"/>
                    </w:rPr>
                    <w:t>制度，排污总量控制制度</w:t>
                  </w:r>
                  <w:r>
                    <w:rPr>
                      <w:rFonts w:hint="eastAsia" w:cs="Times New Roman"/>
                      <w:kern w:val="0"/>
                      <w:sz w:val="21"/>
                      <w:szCs w:val="21"/>
                    </w:rPr>
                    <w:t>。</w:t>
                  </w:r>
                </w:p>
                <w:p>
                  <w:pPr>
                    <w:spacing w:line="240" w:lineRule="auto"/>
                    <w:ind w:firstLine="0" w:firstLineChars="0"/>
                    <w:contextualSpacing/>
                  </w:pPr>
                  <w:r>
                    <w:rPr>
                      <w:rFonts w:hint="eastAsia" w:cs="Times New Roman"/>
                      <w:kern w:val="0"/>
                      <w:sz w:val="21"/>
                      <w:szCs w:val="21"/>
                    </w:rPr>
                    <w:t>6、本项目使用节能、环保、高效的龙门式废钢剪切机，不使用鳄鱼剪式剪切机。</w:t>
                  </w:r>
                </w:p>
              </w:tc>
              <w:tc>
                <w:tcPr>
                  <w:tcW w:w="419" w:type="pct"/>
                  <w:tcBorders>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4" w:type="pct"/>
                  <w:tcBorders>
                    <w:tl2br w:val="nil"/>
                    <w:tr2bl w:val="nil"/>
                  </w:tcBorders>
                  <w:vAlign w:val="center"/>
                </w:tcPr>
                <w:p>
                  <w:pPr>
                    <w:spacing w:line="240" w:lineRule="auto"/>
                    <w:ind w:firstLine="0" w:firstLineChars="0"/>
                    <w:contextualSpacing/>
                    <w:jc w:val="center"/>
                    <w:rPr>
                      <w:rFonts w:cs="Times New Roman"/>
                      <w:kern w:val="0"/>
                      <w:sz w:val="21"/>
                      <w:szCs w:val="21"/>
                    </w:rPr>
                  </w:pPr>
                </w:p>
              </w:tc>
              <w:tc>
                <w:tcPr>
                  <w:tcW w:w="460" w:type="pct"/>
                  <w:tcBorders>
                    <w:tl2br w:val="nil"/>
                    <w:tr2bl w:val="nil"/>
                  </w:tcBorders>
                  <w:vAlign w:val="center"/>
                </w:tcPr>
                <w:p>
                  <w:pPr>
                    <w:spacing w:line="240" w:lineRule="auto"/>
                    <w:ind w:firstLine="0" w:firstLineChars="0"/>
                    <w:contextualSpacing/>
                    <w:jc w:val="center"/>
                    <w:rPr>
                      <w:rFonts w:cs="Times New Roman"/>
                      <w:kern w:val="0"/>
                      <w:sz w:val="21"/>
                      <w:szCs w:val="21"/>
                    </w:rPr>
                  </w:pPr>
                  <w:r>
                    <w:rPr>
                      <w:rFonts w:hint="eastAsia" w:cs="Times New Roman"/>
                      <w:kern w:val="0"/>
                      <w:sz w:val="21"/>
                      <w:szCs w:val="21"/>
                    </w:rPr>
                    <w:t>防控措施</w:t>
                  </w:r>
                </w:p>
              </w:tc>
              <w:tc>
                <w:tcPr>
                  <w:tcW w:w="2266" w:type="pct"/>
                  <w:tcBorders>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1、执行山西省、重点区域（汾渭平原）、重点流域（汾河）、临汾市的环境风险防控要求。</w:t>
                  </w:r>
                </w:p>
                <w:p>
                  <w:pPr>
                    <w:spacing w:line="240" w:lineRule="auto"/>
                    <w:ind w:firstLine="0" w:firstLineChars="0"/>
                    <w:contextualSpacing/>
                    <w:rPr>
                      <w:rFonts w:cs="Times New Roman"/>
                      <w:kern w:val="0"/>
                      <w:sz w:val="21"/>
                      <w:szCs w:val="21"/>
                    </w:rPr>
                  </w:pPr>
                  <w:r>
                    <w:rPr>
                      <w:rFonts w:hint="eastAsia" w:cs="Times New Roman"/>
                      <w:kern w:val="0"/>
                      <w:sz w:val="21"/>
                      <w:szCs w:val="21"/>
                    </w:rPr>
                    <w:t>2、入园企业应制定环境应急预案，明确环境风险防范措施。</w:t>
                  </w:r>
                </w:p>
              </w:tc>
              <w:tc>
                <w:tcPr>
                  <w:tcW w:w="1529" w:type="pct"/>
                  <w:tcBorders>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1、本项目严格执行山西省、重点区域（汾渭平原）、重点流域（汾河）、临汾市的环境风险防控要求。</w:t>
                  </w:r>
                </w:p>
                <w:p>
                  <w:pPr>
                    <w:spacing w:line="240" w:lineRule="auto"/>
                    <w:ind w:firstLine="0" w:firstLineChars="0"/>
                    <w:contextualSpacing/>
                  </w:pPr>
                  <w:r>
                    <w:rPr>
                      <w:rFonts w:hint="eastAsia" w:cs="Times New Roman"/>
                      <w:kern w:val="0"/>
                      <w:sz w:val="21"/>
                      <w:szCs w:val="21"/>
                    </w:rPr>
                    <w:t>2、本项目危险废物暂存危废暂存间，定期交由有资质单位处理。本项目正在办理环评手续，后续将依次办理突发环境事件应急预案。</w:t>
                  </w:r>
                </w:p>
              </w:tc>
              <w:tc>
                <w:tcPr>
                  <w:tcW w:w="419" w:type="pct"/>
                  <w:tcBorders>
                    <w:tl2br w:val="nil"/>
                    <w:tr2bl w:val="nil"/>
                  </w:tcBorders>
                  <w:vAlign w:val="center"/>
                </w:tcPr>
                <w:p>
                  <w:pPr>
                    <w:spacing w:line="240" w:lineRule="auto"/>
                    <w:ind w:firstLine="0" w:firstLineChars="0"/>
                    <w:contextualSpacing/>
                    <w:rPr>
                      <w:rFonts w:cs="Times New Roman"/>
                      <w:kern w:val="0"/>
                      <w:sz w:val="21"/>
                      <w:szCs w:val="21"/>
                    </w:rPr>
                  </w:pPr>
                  <w:r>
                    <w:rPr>
                      <w:rFonts w:hint="eastAsia" w:cs="Times New Roman"/>
                      <w:kern w:val="0"/>
                      <w:sz w:val="21"/>
                      <w:szCs w:val="21"/>
                    </w:rPr>
                    <w:t>符合</w:t>
                  </w:r>
                </w:p>
              </w:tc>
            </w:tr>
          </w:tbl>
          <w:p>
            <w:pPr>
              <w:ind w:firstLine="480"/>
            </w:pPr>
            <w:r>
              <w:rPr>
                <w:rFonts w:hint="eastAsia"/>
              </w:rPr>
              <w:t>根据表1-3分析，本项目的建设符合《尧都高新技术产业开发区总体规划（2020-2035）环境影响报告书》生态环境准入清单要求。</w:t>
            </w:r>
          </w:p>
          <w:p>
            <w:pPr>
              <w:ind w:firstLine="480"/>
            </w:pPr>
            <w:r>
              <w:rPr>
                <w:rFonts w:hint="eastAsia"/>
              </w:rPr>
              <w:t>经“运营期环境影响和保护措施”章节分析：本项目大气污染主要是无组织颗粒物的排放，在采取封闭车间作业、车间定期清扫、生产设备布置远离敏感目标的措施后，可有效降低无组织颗粒物的排放，降低对敏感目标的大气污染；噪声预测采用导则推荐模式对厂界噪声进行了预测，根据预测结果，厂界在采取环评提出的措施后可满足达标排放要求；废水主要是生活废水和洗车废水，生活废水依托东方恒略生活污水处理站处理，处理后用于高炉冲渣，洗车依托东方恒略洗车平台，洗车废水经沉淀后循环使用不外排；固体废物主要是危险废物，在采取危废暂存间暂存，定期交由有资质单位处理，可保证固体废物得到合理处置，最大程度减少对环境的影响。因此，本项目的建设对开发区生态环境影响较小，符合规划环评。</w:t>
            </w:r>
          </w:p>
          <w:p>
            <w:pPr>
              <w:ind w:firstLine="482"/>
              <w:rPr>
                <w:b/>
                <w:bCs/>
              </w:rPr>
            </w:pPr>
            <w:r>
              <w:rPr>
                <w:rFonts w:hint="eastAsia"/>
                <w:b/>
                <w:bCs/>
              </w:rPr>
              <w:t>1.3项目与《尧都高新技术产业开发区总体规划（2020-2035年）环境影响报告书》审查意见的符合性分析</w:t>
            </w:r>
          </w:p>
          <w:p>
            <w:pPr>
              <w:ind w:firstLine="480"/>
            </w:pPr>
            <w:r>
              <w:rPr>
                <w:rFonts w:hint="eastAsia"/>
              </w:rPr>
              <w:t>本项目建设情况与《尧都高新技术产业开发区总体规划（2020-2035年）环境影响报告书》审查意见的符合性分析见表1-4。</w:t>
            </w:r>
          </w:p>
          <w:p>
            <w:pPr>
              <w:pStyle w:val="33"/>
              <w:spacing w:after="0" w:line="240" w:lineRule="auto"/>
              <w:ind w:left="0" w:leftChars="0" w:firstLine="0" w:firstLineChars="0"/>
              <w:jc w:val="center"/>
              <w:rPr>
                <w:b/>
                <w:sz w:val="21"/>
                <w:szCs w:val="21"/>
              </w:rPr>
            </w:pPr>
            <w:r>
              <w:rPr>
                <w:rFonts w:hint="eastAsia"/>
                <w:b/>
                <w:sz w:val="21"/>
                <w:szCs w:val="21"/>
              </w:rPr>
              <w:t>表1-4  审查意见的符合性分析</w:t>
            </w:r>
          </w:p>
          <w:tbl>
            <w:tblPr>
              <w:tblStyle w:val="3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6"/>
              <w:gridCol w:w="4145"/>
              <w:gridCol w:w="2367"/>
              <w:gridCol w:w="8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6" w:type="dxa"/>
                  <w:tcBorders>
                    <w:bottom w:val="single" w:color="auto" w:sz="12" w:space="0"/>
                  </w:tcBorders>
                  <w:vAlign w:val="center"/>
                </w:tcPr>
                <w:p>
                  <w:pPr>
                    <w:spacing w:line="240" w:lineRule="auto"/>
                    <w:ind w:firstLine="0" w:firstLineChars="0"/>
                    <w:contextualSpacing/>
                    <w:jc w:val="center"/>
                    <w:rPr>
                      <w:sz w:val="21"/>
                    </w:rPr>
                  </w:pPr>
                  <w:r>
                    <w:rPr>
                      <w:rFonts w:cs="Times New Roman"/>
                      <w:b/>
                      <w:bCs/>
                      <w:kern w:val="0"/>
                      <w:sz w:val="21"/>
                      <w:szCs w:val="21"/>
                    </w:rPr>
                    <w:t>项目</w:t>
                  </w:r>
                </w:p>
              </w:tc>
              <w:tc>
                <w:tcPr>
                  <w:tcW w:w="4145" w:type="dxa"/>
                  <w:tcBorders>
                    <w:bottom w:val="single" w:color="auto" w:sz="12" w:space="0"/>
                  </w:tcBorders>
                  <w:vAlign w:val="center"/>
                </w:tcPr>
                <w:p>
                  <w:pPr>
                    <w:spacing w:line="240" w:lineRule="auto"/>
                    <w:ind w:firstLine="0" w:firstLineChars="0"/>
                    <w:contextualSpacing/>
                    <w:jc w:val="center"/>
                    <w:rPr>
                      <w:sz w:val="21"/>
                    </w:rPr>
                  </w:pPr>
                  <w:r>
                    <w:rPr>
                      <w:rFonts w:cs="Times New Roman"/>
                      <w:b/>
                      <w:bCs/>
                      <w:kern w:val="0"/>
                      <w:sz w:val="21"/>
                      <w:szCs w:val="21"/>
                    </w:rPr>
                    <w:t>准入内容</w:t>
                  </w:r>
                </w:p>
              </w:tc>
              <w:tc>
                <w:tcPr>
                  <w:tcW w:w="2367" w:type="dxa"/>
                  <w:tcBorders>
                    <w:bottom w:val="single" w:color="auto" w:sz="12" w:space="0"/>
                  </w:tcBorders>
                  <w:vAlign w:val="center"/>
                </w:tcPr>
                <w:p>
                  <w:pPr>
                    <w:spacing w:line="240" w:lineRule="auto"/>
                    <w:ind w:firstLine="0" w:firstLineChars="0"/>
                    <w:contextualSpacing/>
                    <w:jc w:val="center"/>
                    <w:rPr>
                      <w:sz w:val="21"/>
                    </w:rPr>
                  </w:pPr>
                  <w:r>
                    <w:rPr>
                      <w:rFonts w:hint="eastAsia" w:cs="Times New Roman"/>
                      <w:b/>
                      <w:bCs/>
                      <w:kern w:val="0"/>
                      <w:sz w:val="21"/>
                      <w:szCs w:val="21"/>
                    </w:rPr>
                    <w:t>项目建设情况</w:t>
                  </w:r>
                </w:p>
              </w:tc>
              <w:tc>
                <w:tcPr>
                  <w:tcW w:w="811" w:type="dxa"/>
                  <w:tcBorders>
                    <w:bottom w:val="single" w:color="auto" w:sz="12" w:space="0"/>
                  </w:tcBorders>
                  <w:vAlign w:val="center"/>
                </w:tcPr>
                <w:p>
                  <w:pPr>
                    <w:spacing w:line="240" w:lineRule="auto"/>
                    <w:ind w:firstLine="0" w:firstLineChars="0"/>
                    <w:contextualSpacing/>
                    <w:jc w:val="center"/>
                    <w:rPr>
                      <w:rFonts w:cs="Times New Roman"/>
                      <w:b/>
                      <w:bCs/>
                      <w:kern w:val="0"/>
                      <w:sz w:val="21"/>
                      <w:szCs w:val="21"/>
                    </w:rPr>
                  </w:pPr>
                  <w:r>
                    <w:rPr>
                      <w:rFonts w:hint="eastAsia" w:cs="Times New Roman"/>
                      <w:b/>
                      <w:bCs/>
                      <w:kern w:val="0"/>
                      <w:sz w:val="21"/>
                      <w:szCs w:val="21"/>
                    </w:rPr>
                    <w:t>符</w:t>
                  </w:r>
                </w:p>
                <w:p>
                  <w:pPr>
                    <w:spacing w:line="240" w:lineRule="auto"/>
                    <w:ind w:firstLine="0" w:firstLineChars="0"/>
                    <w:contextualSpacing/>
                    <w:jc w:val="center"/>
                    <w:rPr>
                      <w:sz w:val="21"/>
                    </w:rPr>
                  </w:pPr>
                  <w:r>
                    <w:rPr>
                      <w:rFonts w:hint="eastAsia" w:cs="Times New Roman"/>
                      <w:b/>
                      <w:bCs/>
                      <w:kern w:val="0"/>
                      <w:sz w:val="21"/>
                      <w:szCs w:val="21"/>
                    </w:rPr>
                    <w:t>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6" w:type="dxa"/>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坚持生态优化、推动高质量发展</w:t>
                  </w:r>
                </w:p>
              </w:tc>
              <w:tc>
                <w:tcPr>
                  <w:tcW w:w="4145" w:type="dxa"/>
                  <w:tcBorders>
                    <w:top w:val="single" w:color="auto" w:sz="12" w:space="0"/>
                    <w:tl2br w:val="nil"/>
                    <w:tr2bl w:val="nil"/>
                  </w:tcBorders>
                  <w:vAlign w:val="center"/>
                </w:tcPr>
                <w:p>
                  <w:pPr>
                    <w:spacing w:line="240" w:lineRule="auto"/>
                    <w:ind w:firstLine="210" w:firstLineChars="100"/>
                    <w:rPr>
                      <w:sz w:val="21"/>
                    </w:rPr>
                  </w:pPr>
                  <w:r>
                    <w:rPr>
                      <w:sz w:val="21"/>
                    </w:rPr>
                    <w:t>《规划》应贯彻国家、我省坚决遏制</w:t>
                  </w:r>
                  <w:r>
                    <w:rPr>
                      <w:rFonts w:hint="eastAsia"/>
                      <w:sz w:val="21"/>
                    </w:rPr>
                    <w:t>“</w:t>
                  </w:r>
                  <w:r>
                    <w:rPr>
                      <w:sz w:val="21"/>
                    </w:rPr>
                    <w:t>两高</w:t>
                  </w:r>
                  <w:r>
                    <w:rPr>
                      <w:rFonts w:hint="eastAsia"/>
                      <w:sz w:val="21"/>
                    </w:rPr>
                    <w:t>”</w:t>
                  </w:r>
                  <w:r>
                    <w:rPr>
                      <w:sz w:val="21"/>
                    </w:rPr>
                    <w:t>项目盲目建设的政策要求，落实黄河流域生态保护与高质量发展战略部署，衔接国家和我省高新技术产业相关规划，落实各项生态环境保护政策措施，以改善环境质量为核心，推进电子信息、先进装备制造、新能源等主导产业发展，严控</w:t>
                  </w:r>
                  <w:r>
                    <w:rPr>
                      <w:rFonts w:hint="eastAsia"/>
                      <w:sz w:val="21"/>
                    </w:rPr>
                    <w:t>“</w:t>
                  </w:r>
                  <w:r>
                    <w:rPr>
                      <w:sz w:val="21"/>
                    </w:rPr>
                    <w:t>两高</w:t>
                  </w:r>
                  <w:r>
                    <w:rPr>
                      <w:rFonts w:hint="eastAsia"/>
                      <w:sz w:val="21"/>
                    </w:rPr>
                    <w:t>”</w:t>
                  </w:r>
                  <w:r>
                    <w:rPr>
                      <w:sz w:val="21"/>
                    </w:rPr>
                    <w:t>项目建设，延伸发展清洁、低碳产业，加快铸造等现有产业提质升级，协同推进高新区高质量</w:t>
                  </w:r>
                  <w:r>
                    <w:rPr>
                      <w:rFonts w:hint="eastAsia"/>
                      <w:sz w:val="21"/>
                    </w:rPr>
                    <w:t>发展和生态环境高标准保护。</w:t>
                  </w:r>
                </w:p>
              </w:tc>
              <w:tc>
                <w:tcPr>
                  <w:tcW w:w="2367" w:type="dxa"/>
                  <w:tcBorders>
                    <w:top w:val="single" w:color="auto" w:sz="12" w:space="0"/>
                    <w:tl2br w:val="nil"/>
                    <w:tr2bl w:val="nil"/>
                  </w:tcBorders>
                  <w:vAlign w:val="center"/>
                </w:tcPr>
                <w:p>
                  <w:pPr>
                    <w:spacing w:line="240" w:lineRule="auto"/>
                    <w:ind w:firstLine="210" w:firstLineChars="100"/>
                    <w:rPr>
                      <w:sz w:val="21"/>
                    </w:rPr>
                  </w:pPr>
                  <w:r>
                    <w:rPr>
                      <w:rFonts w:hint="eastAsia"/>
                      <w:sz w:val="21"/>
                    </w:rPr>
                    <w:t>本项目为废金属回收加工项目，不属于“两高”项目，符合尧都高新技术产业开发区产业规划。</w:t>
                  </w:r>
                </w:p>
              </w:tc>
              <w:tc>
                <w:tcPr>
                  <w:tcW w:w="811" w:type="dxa"/>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6" w:type="dxa"/>
                  <w:tcBorders>
                    <w:tl2br w:val="nil"/>
                    <w:tr2bl w:val="nil"/>
                  </w:tcBorders>
                  <w:vAlign w:val="center"/>
                </w:tcPr>
                <w:p>
                  <w:pPr>
                    <w:spacing w:line="240" w:lineRule="auto"/>
                    <w:ind w:firstLine="0" w:firstLineChars="0"/>
                    <w:jc w:val="center"/>
                    <w:rPr>
                      <w:sz w:val="21"/>
                    </w:rPr>
                  </w:pPr>
                  <w:r>
                    <w:rPr>
                      <w:rFonts w:hint="eastAsia"/>
                      <w:sz w:val="21"/>
                    </w:rPr>
                    <w:t>强化规划约束、优化空间布局</w:t>
                  </w:r>
                </w:p>
              </w:tc>
              <w:tc>
                <w:tcPr>
                  <w:tcW w:w="4145" w:type="dxa"/>
                  <w:tcBorders>
                    <w:tl2br w:val="nil"/>
                    <w:tr2bl w:val="nil"/>
                  </w:tcBorders>
                  <w:vAlign w:val="center"/>
                </w:tcPr>
                <w:p>
                  <w:pPr>
                    <w:spacing w:line="240" w:lineRule="auto"/>
                    <w:ind w:firstLine="210" w:firstLineChars="100"/>
                    <w:rPr>
                      <w:sz w:val="21"/>
                    </w:rPr>
                  </w:pPr>
                  <w:r>
                    <w:rPr>
                      <w:sz w:val="21"/>
                    </w:rPr>
                    <w:t>《规划》应根据山西省主体功能区规划、临汾市</w:t>
                  </w:r>
                  <w:r>
                    <w:rPr>
                      <w:rFonts w:hint="eastAsia"/>
                      <w:sz w:val="21"/>
                    </w:rPr>
                    <w:t>“</w:t>
                  </w:r>
                  <w:r>
                    <w:rPr>
                      <w:sz w:val="21"/>
                    </w:rPr>
                    <w:t>三线一单</w:t>
                  </w:r>
                  <w:r>
                    <w:rPr>
                      <w:rFonts w:hint="eastAsia"/>
                      <w:sz w:val="21"/>
                    </w:rPr>
                    <w:t>”</w:t>
                  </w:r>
                  <w:r>
                    <w:rPr>
                      <w:sz w:val="21"/>
                    </w:rPr>
                    <w:t>、国土空间规划、生态环境保护等相关规划，进一步优化产业布局，合理协调开发区规划实施和地下矿产资源开发利用关系，促进工业生产空间与居住办公、生态保护空间布局相协调。尧都云商产业园应满足城市总体规划，并符合《山西省水污染防治条例》《山西省汾河流域水污染防治条例》等保护要求，禁止新建污染型工业项目。</w:t>
                  </w:r>
                </w:p>
              </w:tc>
              <w:tc>
                <w:tcPr>
                  <w:tcW w:w="2367" w:type="dxa"/>
                  <w:tcBorders>
                    <w:tl2br w:val="nil"/>
                    <w:tr2bl w:val="nil"/>
                  </w:tcBorders>
                  <w:vAlign w:val="center"/>
                </w:tcPr>
                <w:p>
                  <w:pPr>
                    <w:spacing w:line="240" w:lineRule="auto"/>
                    <w:ind w:firstLine="210" w:firstLineChars="100"/>
                    <w:rPr>
                      <w:sz w:val="21"/>
                    </w:rPr>
                  </w:pPr>
                  <w:r>
                    <w:rPr>
                      <w:rFonts w:hint="eastAsia"/>
                      <w:sz w:val="21"/>
                    </w:rPr>
                    <w:t>本项目位于尧都高新技术产业开发区。经分析，本项目符合山西省主体功能区规划、临汾市“三线一单”</w:t>
                  </w:r>
                  <w:r>
                    <w:rPr>
                      <w:sz w:val="21"/>
                    </w:rPr>
                    <w:t>、国土空间规划、生态环境保护等相关规划</w:t>
                  </w:r>
                  <w:r>
                    <w:rPr>
                      <w:rFonts w:hint="eastAsia"/>
                      <w:sz w:val="21"/>
                    </w:rPr>
                    <w:t>，项目生活废水和洗车废水经处理后回用，不外排，无生产废水。</w:t>
                  </w:r>
                </w:p>
              </w:tc>
              <w:tc>
                <w:tcPr>
                  <w:tcW w:w="811"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6" w:type="dxa"/>
                  <w:tcBorders>
                    <w:tl2br w:val="nil"/>
                    <w:tr2bl w:val="nil"/>
                  </w:tcBorders>
                  <w:vAlign w:val="center"/>
                </w:tcPr>
                <w:p>
                  <w:pPr>
                    <w:spacing w:line="240" w:lineRule="auto"/>
                    <w:ind w:firstLine="0" w:firstLineChars="0"/>
                    <w:jc w:val="center"/>
                    <w:rPr>
                      <w:sz w:val="21"/>
                    </w:rPr>
                  </w:pPr>
                  <w:r>
                    <w:rPr>
                      <w:rFonts w:hint="eastAsia"/>
                      <w:sz w:val="21"/>
                    </w:rPr>
                    <w:t>基于环境承载能力，推进产业结构调整</w:t>
                  </w:r>
                </w:p>
              </w:tc>
              <w:tc>
                <w:tcPr>
                  <w:tcW w:w="4145" w:type="dxa"/>
                  <w:tcBorders>
                    <w:tl2br w:val="nil"/>
                    <w:tr2bl w:val="nil"/>
                  </w:tcBorders>
                  <w:vAlign w:val="center"/>
                </w:tcPr>
                <w:p>
                  <w:pPr>
                    <w:spacing w:line="240" w:lineRule="auto"/>
                    <w:ind w:firstLine="210" w:firstLineChars="100"/>
                    <w:rPr>
                      <w:color w:val="auto"/>
                      <w:sz w:val="21"/>
                      <w:highlight w:val="none"/>
                    </w:rPr>
                  </w:pPr>
                  <w:r>
                    <w:rPr>
                      <w:color w:val="auto"/>
                      <w:sz w:val="21"/>
                      <w:highlight w:val="none"/>
                    </w:rPr>
                    <w:t>《规划》应根据区域水资源和土地资源制约，提升资源能源利用效率和清洁生产水平，坚持</w:t>
                  </w:r>
                  <w:r>
                    <w:rPr>
                      <w:rFonts w:hint="eastAsia"/>
                      <w:color w:val="auto"/>
                      <w:sz w:val="21"/>
                      <w:highlight w:val="none"/>
                    </w:rPr>
                    <w:t>“</w:t>
                  </w:r>
                  <w:r>
                    <w:rPr>
                      <w:color w:val="auto"/>
                      <w:sz w:val="21"/>
                      <w:highlight w:val="none"/>
                    </w:rPr>
                    <w:t>以水定产、以地定产</w:t>
                  </w:r>
                  <w:r>
                    <w:rPr>
                      <w:rFonts w:hint="eastAsia"/>
                      <w:color w:val="auto"/>
                      <w:sz w:val="21"/>
                      <w:highlight w:val="none"/>
                    </w:rPr>
                    <w:t>”</w:t>
                  </w:r>
                  <w:r>
                    <w:rPr>
                      <w:color w:val="auto"/>
                      <w:sz w:val="21"/>
                      <w:highlight w:val="none"/>
                    </w:rPr>
                    <w:t>，合理优化产业发展规模、入区项目的生产工艺、装备水平、资源能源利用和污染控制水平应对标国际国内先进水平，推动产业结构绿色转型升级。</w:t>
                  </w:r>
                </w:p>
              </w:tc>
              <w:tc>
                <w:tcPr>
                  <w:tcW w:w="2367" w:type="dxa"/>
                  <w:tcBorders>
                    <w:tl2br w:val="nil"/>
                    <w:tr2bl w:val="nil"/>
                  </w:tcBorders>
                  <w:vAlign w:val="center"/>
                </w:tcPr>
                <w:p>
                  <w:pPr>
                    <w:spacing w:line="240" w:lineRule="auto"/>
                    <w:ind w:firstLine="210" w:firstLineChars="100"/>
                    <w:rPr>
                      <w:rFonts w:hint="eastAsia"/>
                      <w:color w:val="auto"/>
                      <w:sz w:val="21"/>
                      <w:highlight w:val="none"/>
                      <w:lang w:eastAsia="zh-CN"/>
                    </w:rPr>
                  </w:pPr>
                  <w:r>
                    <w:rPr>
                      <w:rFonts w:hint="eastAsia"/>
                      <w:color w:val="auto"/>
                      <w:sz w:val="21"/>
                      <w:highlight w:val="none"/>
                    </w:rPr>
                    <w:t>本项目租用盛泰源50亩场地，不新增占地。项目年用水825m</w:t>
                  </w:r>
                  <w:r>
                    <w:rPr>
                      <w:rFonts w:hint="eastAsia"/>
                      <w:color w:val="auto"/>
                      <w:sz w:val="21"/>
                      <w:highlight w:val="none"/>
                      <w:vertAlign w:val="superscript"/>
                    </w:rPr>
                    <w:t>3</w:t>
                  </w:r>
                  <w:r>
                    <w:rPr>
                      <w:rFonts w:hint="eastAsia"/>
                      <w:color w:val="auto"/>
                      <w:sz w:val="21"/>
                      <w:highlight w:val="none"/>
                    </w:rPr>
                    <w:t>/a</w:t>
                  </w:r>
                  <w:r>
                    <w:rPr>
                      <w:rFonts w:hint="eastAsia"/>
                      <w:color w:val="auto"/>
                      <w:sz w:val="21"/>
                      <w:highlight w:val="none"/>
                      <w:lang w:eastAsia="zh-CN"/>
                    </w:rPr>
                    <w:t>，</w:t>
                  </w:r>
                  <w:r>
                    <w:rPr>
                      <w:rFonts w:hint="eastAsia"/>
                      <w:color w:val="auto"/>
                      <w:sz w:val="21"/>
                      <w:highlight w:val="none"/>
                      <w:lang w:val="en-US" w:eastAsia="zh-CN"/>
                    </w:rPr>
                    <w:t>废水经处理后回用，不外排</w:t>
                  </w:r>
                  <w:r>
                    <w:rPr>
                      <w:rFonts w:hint="eastAsia"/>
                      <w:color w:val="auto"/>
                      <w:sz w:val="21"/>
                      <w:highlight w:val="none"/>
                      <w:lang w:eastAsia="zh-CN"/>
                    </w:rPr>
                    <w:t>。</w:t>
                  </w:r>
                </w:p>
                <w:p>
                  <w:pPr>
                    <w:spacing w:line="240" w:lineRule="auto"/>
                    <w:ind w:firstLine="210" w:firstLineChars="100"/>
                    <w:rPr>
                      <w:rFonts w:hint="default"/>
                      <w:color w:val="auto"/>
                      <w:sz w:val="21"/>
                      <w:highlight w:val="none"/>
                      <w:lang w:val="en-US" w:eastAsia="zh-CN"/>
                    </w:rPr>
                  </w:pPr>
                  <w:r>
                    <w:rPr>
                      <w:rFonts w:hint="eastAsia"/>
                      <w:color w:val="auto"/>
                      <w:sz w:val="21"/>
                      <w:highlight w:val="none"/>
                      <w:lang w:val="en-US" w:eastAsia="zh-CN"/>
                    </w:rPr>
                    <w:t>项目属于废旧金属回收加工项目，加工后的废金属外售盛泰源生产合金铸件，提高废旧金属的利用率。</w:t>
                  </w:r>
                </w:p>
                <w:p>
                  <w:pPr>
                    <w:spacing w:line="240" w:lineRule="auto"/>
                    <w:ind w:firstLine="210" w:firstLineChars="100"/>
                    <w:rPr>
                      <w:color w:val="auto"/>
                      <w:sz w:val="21"/>
                      <w:highlight w:val="none"/>
                    </w:rPr>
                  </w:pPr>
                  <w:r>
                    <w:rPr>
                      <w:rFonts w:hint="eastAsia"/>
                      <w:color w:val="auto"/>
                      <w:sz w:val="21"/>
                      <w:highlight w:val="none"/>
                      <w:lang w:val="en-US" w:eastAsia="zh-CN"/>
                    </w:rPr>
                    <w:t>项目使用符合《废钢铁加工行业准入条件》（2016年12月31日起实施）要求的生产设备。</w:t>
                  </w:r>
                </w:p>
              </w:tc>
              <w:tc>
                <w:tcPr>
                  <w:tcW w:w="811"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6" w:type="dxa"/>
                  <w:tcBorders>
                    <w:tl2br w:val="nil"/>
                    <w:tr2bl w:val="nil"/>
                  </w:tcBorders>
                  <w:vAlign w:val="center"/>
                </w:tcPr>
                <w:p>
                  <w:pPr>
                    <w:spacing w:line="240" w:lineRule="auto"/>
                    <w:ind w:firstLine="0" w:firstLineChars="0"/>
                    <w:jc w:val="center"/>
                    <w:rPr>
                      <w:sz w:val="21"/>
                    </w:rPr>
                  </w:pPr>
                  <w:r>
                    <w:rPr>
                      <w:rFonts w:hint="eastAsia"/>
                      <w:sz w:val="21"/>
                    </w:rPr>
                    <w:t>统筹各类减排措施，改善大气环境质量</w:t>
                  </w:r>
                </w:p>
              </w:tc>
              <w:tc>
                <w:tcPr>
                  <w:tcW w:w="4145" w:type="dxa"/>
                  <w:tcBorders>
                    <w:tl2br w:val="nil"/>
                    <w:tr2bl w:val="nil"/>
                  </w:tcBorders>
                  <w:vAlign w:val="center"/>
                </w:tcPr>
                <w:p>
                  <w:pPr>
                    <w:spacing w:line="240" w:lineRule="auto"/>
                    <w:ind w:firstLine="210" w:firstLineChars="100"/>
                    <w:rPr>
                      <w:color w:val="auto"/>
                      <w:sz w:val="21"/>
                      <w:highlight w:val="none"/>
                    </w:rPr>
                  </w:pPr>
                  <w:r>
                    <w:rPr>
                      <w:color w:val="auto"/>
                      <w:sz w:val="21"/>
                      <w:highlight w:val="none"/>
                    </w:rPr>
                    <w:t>落实汾渭平原大气污染防治要求，严格行业排放管控，加强颗粒物、氮氧化物、VOCs和行业特征污染物的控制。完善开发区集中供热供气、工业余热利用、物流清洁运输等基础设施，严格落实区域大气污染物削减计划，优化能源结构，提高铁路运输比例，推进开发区减污降碳协同增效。</w:t>
                  </w:r>
                </w:p>
              </w:tc>
              <w:tc>
                <w:tcPr>
                  <w:tcW w:w="2367" w:type="dxa"/>
                  <w:tcBorders>
                    <w:tl2br w:val="nil"/>
                    <w:tr2bl w:val="nil"/>
                  </w:tcBorders>
                  <w:vAlign w:val="center"/>
                </w:tcPr>
                <w:p>
                  <w:pPr>
                    <w:spacing w:line="240" w:lineRule="auto"/>
                    <w:ind w:firstLine="210" w:firstLineChars="100"/>
                    <w:rPr>
                      <w:rFonts w:hint="eastAsia"/>
                      <w:color w:val="auto"/>
                      <w:sz w:val="21"/>
                      <w:highlight w:val="none"/>
                    </w:rPr>
                  </w:pPr>
                  <w:r>
                    <w:rPr>
                      <w:rFonts w:hint="eastAsia"/>
                      <w:color w:val="auto"/>
                      <w:sz w:val="21"/>
                      <w:highlight w:val="none"/>
                    </w:rPr>
                    <w:t>本项目废气主要是无组织颗粒物的排放，在采取封闭车间作业、车间定期清扫、生产设备布置远离敏感目标的措施后，可使无组织颗粒物的排放浓度满足《大气污染物综合排放标准》（GB16297-1996）中表2规定的排放限值。</w:t>
                  </w:r>
                </w:p>
                <w:p>
                  <w:pPr>
                    <w:spacing w:line="240" w:lineRule="auto"/>
                    <w:ind w:firstLine="210" w:firstLineChars="100"/>
                    <w:rPr>
                      <w:color w:val="auto"/>
                      <w:sz w:val="21"/>
                      <w:highlight w:val="none"/>
                    </w:rPr>
                  </w:pPr>
                  <w:r>
                    <w:rPr>
                      <w:rFonts w:hint="eastAsia"/>
                      <w:color w:val="auto"/>
                      <w:sz w:val="21"/>
                      <w:highlight w:val="none"/>
                      <w:lang w:val="en-US" w:eastAsia="zh-CN"/>
                    </w:rPr>
                    <w:t>项目年运输5万吨废旧金属，不属于大宗物料，不采用铁路运输。本项目采用国六排放标准车或新能源汽车运输。</w:t>
                  </w:r>
                </w:p>
              </w:tc>
              <w:tc>
                <w:tcPr>
                  <w:tcW w:w="811"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56" w:type="dxa"/>
                  <w:tcBorders>
                    <w:tl2br w:val="nil"/>
                    <w:tr2bl w:val="nil"/>
                  </w:tcBorders>
                  <w:vAlign w:val="center"/>
                </w:tcPr>
                <w:p>
                  <w:pPr>
                    <w:spacing w:line="240" w:lineRule="auto"/>
                    <w:ind w:firstLine="0" w:firstLineChars="0"/>
                    <w:jc w:val="center"/>
                    <w:rPr>
                      <w:sz w:val="21"/>
                    </w:rPr>
                  </w:pPr>
                  <w:r>
                    <w:rPr>
                      <w:rFonts w:hint="eastAsia"/>
                      <w:sz w:val="21"/>
                    </w:rPr>
                    <w:t>严格生产用排水管理，保障水环境安全</w:t>
                  </w:r>
                </w:p>
              </w:tc>
              <w:tc>
                <w:tcPr>
                  <w:tcW w:w="4145" w:type="dxa"/>
                  <w:tcBorders>
                    <w:tl2br w:val="nil"/>
                    <w:tr2bl w:val="nil"/>
                  </w:tcBorders>
                  <w:vAlign w:val="center"/>
                </w:tcPr>
                <w:p>
                  <w:pPr>
                    <w:spacing w:line="240" w:lineRule="auto"/>
                    <w:ind w:firstLine="210" w:firstLineChars="100"/>
                    <w:rPr>
                      <w:sz w:val="21"/>
                    </w:rPr>
                  </w:pPr>
                  <w:r>
                    <w:rPr>
                      <w:rFonts w:hint="eastAsia"/>
                      <w:sz w:val="21"/>
                    </w:rPr>
                    <w:t>按照“清污分流、雨污分流和分类处置”的原则，配套落实开发区污水收集处理设施，加强工业废水治理，持续稳定改善汾河水环境。落实各项节水措施，做好“分质供水、优水优用、一水多用”，工业生产要优先使用再生水，提高水循环利用率，确需外排的废水应符合相应排放标准，并满足区域水环境功能要求。加强装置区、罐区和污水处理厂等重点区域的防渗措施，开展地下水污染跟踪监控，保障区域地下水和土壤环境安全。</w:t>
                  </w:r>
                </w:p>
              </w:tc>
              <w:tc>
                <w:tcPr>
                  <w:tcW w:w="2367" w:type="dxa"/>
                  <w:tcBorders>
                    <w:tl2br w:val="nil"/>
                    <w:tr2bl w:val="nil"/>
                  </w:tcBorders>
                  <w:vAlign w:val="center"/>
                </w:tcPr>
                <w:p>
                  <w:pPr>
                    <w:spacing w:line="240" w:lineRule="auto"/>
                    <w:ind w:firstLine="210" w:firstLineChars="100"/>
                    <w:rPr>
                      <w:sz w:val="21"/>
                    </w:rPr>
                  </w:pPr>
                  <w:r>
                    <w:rPr>
                      <w:sz w:val="21"/>
                    </w:rPr>
                    <w:t>本项目厂区雨污分流，无生产废水，主要废水</w:t>
                  </w:r>
                  <w:r>
                    <w:rPr>
                      <w:rFonts w:hint="eastAsia"/>
                      <w:sz w:val="21"/>
                    </w:rPr>
                    <w:t>是</w:t>
                  </w:r>
                  <w:r>
                    <w:rPr>
                      <w:sz w:val="21"/>
                    </w:rPr>
                    <w:t>生活污水</w:t>
                  </w:r>
                  <w:r>
                    <w:rPr>
                      <w:rFonts w:hint="eastAsia"/>
                      <w:sz w:val="21"/>
                    </w:rPr>
                    <w:t>和洗车废水</w:t>
                  </w:r>
                  <w:r>
                    <w:rPr>
                      <w:sz w:val="21"/>
                    </w:rPr>
                    <w:t>。</w:t>
                  </w:r>
                  <w:r>
                    <w:rPr>
                      <w:rFonts w:hint="eastAsia"/>
                      <w:sz w:val="21"/>
                    </w:rPr>
                    <w:t>生活废水依托东方恒略生活污水处理站处理，处理后用于高炉冲渣，洗车废水依托东方恒略洗车平台，洗车废水经沉淀后循环使用不外排。</w:t>
                  </w:r>
                </w:p>
              </w:tc>
              <w:tc>
                <w:tcPr>
                  <w:tcW w:w="811"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56" w:type="dxa"/>
                  <w:tcBorders>
                    <w:tl2br w:val="nil"/>
                    <w:tr2bl w:val="nil"/>
                  </w:tcBorders>
                  <w:vAlign w:val="center"/>
                </w:tcPr>
                <w:p>
                  <w:pPr>
                    <w:spacing w:line="240" w:lineRule="auto"/>
                    <w:ind w:firstLine="0" w:firstLineChars="0"/>
                    <w:jc w:val="center"/>
                    <w:rPr>
                      <w:sz w:val="21"/>
                    </w:rPr>
                  </w:pPr>
                  <w:r>
                    <w:rPr>
                      <w:rFonts w:hint="eastAsia"/>
                      <w:sz w:val="21"/>
                    </w:rPr>
                    <w:t>强化生态环境保护，严格危险废物环境处置</w:t>
                  </w:r>
                </w:p>
              </w:tc>
              <w:tc>
                <w:tcPr>
                  <w:tcW w:w="4145" w:type="dxa"/>
                  <w:tcBorders>
                    <w:tl2br w:val="nil"/>
                    <w:tr2bl w:val="nil"/>
                  </w:tcBorders>
                  <w:vAlign w:val="center"/>
                </w:tcPr>
                <w:p>
                  <w:pPr>
                    <w:spacing w:line="240" w:lineRule="auto"/>
                    <w:ind w:firstLine="210" w:firstLineChars="100"/>
                    <w:rPr>
                      <w:sz w:val="21"/>
                    </w:rPr>
                  </w:pPr>
                  <w:r>
                    <w:rPr>
                      <w:sz w:val="21"/>
                    </w:rPr>
                    <w:t>加强园区内部、外围生态绿地建设</w:t>
                  </w:r>
                  <w:r>
                    <w:rPr>
                      <w:rFonts w:hint="eastAsia"/>
                      <w:sz w:val="21"/>
                    </w:rPr>
                    <w:t>；</w:t>
                  </w:r>
                  <w:r>
                    <w:rPr>
                      <w:sz w:val="21"/>
                    </w:rPr>
                    <w:t>按照</w:t>
                  </w:r>
                  <w:r>
                    <w:rPr>
                      <w:rFonts w:hint="eastAsia"/>
                      <w:sz w:val="21"/>
                    </w:rPr>
                    <w:t>“</w:t>
                  </w:r>
                  <w:r>
                    <w:rPr>
                      <w:sz w:val="21"/>
                    </w:rPr>
                    <w:t>减量化、资源化、无害化</w:t>
                  </w:r>
                  <w:r>
                    <w:rPr>
                      <w:rFonts w:hint="eastAsia"/>
                      <w:sz w:val="21"/>
                    </w:rPr>
                    <w:t>”</w:t>
                  </w:r>
                  <w:r>
                    <w:rPr>
                      <w:sz w:val="21"/>
                    </w:rPr>
                    <w:t>的原则，科学评估开发区固体废物产生的种类、数量和处置能力，统筹规划开发区工业固体废物的综合利用和安全处置方案。完善开发区危险废物管理体系，严控危险废物利用、处置不当可能导致的环境风险。</w:t>
                  </w:r>
                </w:p>
              </w:tc>
              <w:tc>
                <w:tcPr>
                  <w:tcW w:w="2367" w:type="dxa"/>
                  <w:tcBorders>
                    <w:tl2br w:val="nil"/>
                    <w:tr2bl w:val="nil"/>
                  </w:tcBorders>
                  <w:vAlign w:val="center"/>
                </w:tcPr>
                <w:p>
                  <w:pPr>
                    <w:spacing w:line="240" w:lineRule="auto"/>
                    <w:ind w:firstLine="210" w:firstLineChars="100"/>
                    <w:rPr>
                      <w:sz w:val="21"/>
                    </w:rPr>
                  </w:pPr>
                  <w:r>
                    <w:rPr>
                      <w:rFonts w:hint="eastAsia"/>
                      <w:sz w:val="21"/>
                    </w:rPr>
                    <w:t>本项目固废主要是危废废物，无一般固废。危险废物暂存危废暂存间，定期交由有资质单位处置。</w:t>
                  </w:r>
                </w:p>
              </w:tc>
              <w:tc>
                <w:tcPr>
                  <w:tcW w:w="811"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6" w:type="dxa"/>
                  <w:tcBorders>
                    <w:tl2br w:val="nil"/>
                    <w:tr2bl w:val="nil"/>
                  </w:tcBorders>
                  <w:vAlign w:val="center"/>
                </w:tcPr>
                <w:p>
                  <w:pPr>
                    <w:spacing w:line="240" w:lineRule="auto"/>
                    <w:ind w:firstLine="0" w:firstLineChars="0"/>
                    <w:jc w:val="center"/>
                    <w:rPr>
                      <w:sz w:val="21"/>
                    </w:rPr>
                  </w:pPr>
                  <w:r>
                    <w:rPr>
                      <w:rFonts w:hint="eastAsia"/>
                      <w:sz w:val="21"/>
                    </w:rPr>
                    <w:t>落实降噪措施，维护区域声环境质量</w:t>
                  </w:r>
                </w:p>
              </w:tc>
              <w:tc>
                <w:tcPr>
                  <w:tcW w:w="4145" w:type="dxa"/>
                  <w:tcBorders>
                    <w:tl2br w:val="nil"/>
                    <w:tr2bl w:val="nil"/>
                  </w:tcBorders>
                  <w:vAlign w:val="center"/>
                </w:tcPr>
                <w:p>
                  <w:pPr>
                    <w:spacing w:line="240" w:lineRule="auto"/>
                    <w:ind w:firstLine="210" w:firstLineChars="100"/>
                    <w:rPr>
                      <w:sz w:val="21"/>
                    </w:rPr>
                  </w:pPr>
                  <w:r>
                    <w:rPr>
                      <w:sz w:val="21"/>
                    </w:rPr>
                    <w:t>入区工业企业应优先选用低噪声设备及工艺，加强源头治理，将生产高噪声的设备集中布置，园区内采用低噪声路面，并加强路面保养，优化园区交通线路，对园区内行驶车辆限制车速，合理规划生产区与生活办公区，加强绿化等阻挡降噪措施，确保区域声环境质量达标。</w:t>
                  </w:r>
                </w:p>
              </w:tc>
              <w:tc>
                <w:tcPr>
                  <w:tcW w:w="2367" w:type="dxa"/>
                  <w:tcBorders>
                    <w:tl2br w:val="nil"/>
                    <w:tr2bl w:val="nil"/>
                  </w:tcBorders>
                  <w:vAlign w:val="center"/>
                </w:tcPr>
                <w:p>
                  <w:pPr>
                    <w:spacing w:line="240" w:lineRule="auto"/>
                    <w:ind w:firstLine="210" w:firstLineChars="100"/>
                    <w:rPr>
                      <w:sz w:val="21"/>
                    </w:rPr>
                  </w:pPr>
                  <w:r>
                    <w:rPr>
                      <w:rFonts w:hint="eastAsia"/>
                      <w:sz w:val="21"/>
                    </w:rPr>
                    <w:t>本项目</w:t>
                  </w:r>
                  <w:r>
                    <w:rPr>
                      <w:sz w:val="21"/>
                    </w:rPr>
                    <w:t>选用符合国家标准的低噪声设备，设备减振、并定期保养、检修。</w:t>
                  </w:r>
                  <w:r>
                    <w:rPr>
                      <w:rFonts w:hint="eastAsia"/>
                      <w:sz w:val="21"/>
                    </w:rPr>
                    <w:t>经噪声预测，厂界噪声达标排放，声环境保护目标新郭行村声环境质量满足《声环境质量标准》（GB3096-2008）1类标准。</w:t>
                  </w:r>
                </w:p>
              </w:tc>
              <w:tc>
                <w:tcPr>
                  <w:tcW w:w="811"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56" w:type="dxa"/>
                  <w:tcBorders>
                    <w:tl2br w:val="nil"/>
                    <w:tr2bl w:val="nil"/>
                  </w:tcBorders>
                  <w:vAlign w:val="center"/>
                </w:tcPr>
                <w:p>
                  <w:pPr>
                    <w:spacing w:line="240" w:lineRule="auto"/>
                    <w:ind w:firstLine="0" w:firstLineChars="0"/>
                    <w:jc w:val="center"/>
                    <w:rPr>
                      <w:sz w:val="21"/>
                    </w:rPr>
                  </w:pPr>
                  <w:r>
                    <w:rPr>
                      <w:rFonts w:hint="eastAsia"/>
                      <w:sz w:val="21"/>
                    </w:rPr>
                    <w:t>建立健全风险防控体系，防范环境风险</w:t>
                  </w:r>
                </w:p>
              </w:tc>
              <w:tc>
                <w:tcPr>
                  <w:tcW w:w="4145" w:type="dxa"/>
                  <w:tcBorders>
                    <w:tl2br w:val="nil"/>
                    <w:tr2bl w:val="nil"/>
                  </w:tcBorders>
                  <w:vAlign w:val="center"/>
                </w:tcPr>
                <w:p>
                  <w:pPr>
                    <w:spacing w:line="240" w:lineRule="auto"/>
                    <w:ind w:firstLine="210" w:firstLineChars="100"/>
                    <w:rPr>
                      <w:sz w:val="21"/>
                    </w:rPr>
                  </w:pPr>
                  <w:r>
                    <w:rPr>
                      <w:sz w:val="21"/>
                    </w:rPr>
                    <w:t>完善企业、园区、受纳水体三级河流水环境风险管控体系，重点加强铸造、装备制造、制药等企业危废管理，设置满足要求的事故废水收集系统，防止泄漏物和消防废水等进入汾河，有效防范水环境风险。加强危废运输监管，合理规划运输路线，避免次生环境</w:t>
                  </w:r>
                  <w:r>
                    <w:rPr>
                      <w:rFonts w:hint="eastAsia"/>
                      <w:sz w:val="21"/>
                    </w:rPr>
                    <w:t>风险。</w:t>
                  </w:r>
                </w:p>
              </w:tc>
              <w:tc>
                <w:tcPr>
                  <w:tcW w:w="2367" w:type="dxa"/>
                  <w:tcBorders>
                    <w:tl2br w:val="nil"/>
                    <w:tr2bl w:val="nil"/>
                  </w:tcBorders>
                  <w:vAlign w:val="center"/>
                </w:tcPr>
                <w:p>
                  <w:pPr>
                    <w:spacing w:line="240" w:lineRule="auto"/>
                    <w:ind w:firstLine="210" w:firstLineChars="100"/>
                    <w:rPr>
                      <w:sz w:val="21"/>
                    </w:rPr>
                  </w:pPr>
                  <w:r>
                    <w:rPr>
                      <w:rFonts w:hint="eastAsia"/>
                      <w:sz w:val="21"/>
                    </w:rPr>
                    <w:t>本项目生产中使用的机油和液压油随用随购，不在厂区储存。本项目风险物质主要是废机油和废液压油。风险物质最大储存量为0.74t/a，如发生泄露不会流出危废暂存间，不会对区域水体造成污染。消防废水排入盛泰源事故水池。企业加强对危废运输监管，危废处置单位合理规划运输路线。</w:t>
                  </w:r>
                </w:p>
              </w:tc>
              <w:tc>
                <w:tcPr>
                  <w:tcW w:w="811"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6" w:type="dxa"/>
                  <w:tcBorders>
                    <w:tl2br w:val="nil"/>
                    <w:tr2bl w:val="nil"/>
                  </w:tcBorders>
                  <w:vAlign w:val="center"/>
                </w:tcPr>
                <w:p>
                  <w:pPr>
                    <w:spacing w:line="240" w:lineRule="auto"/>
                    <w:ind w:firstLine="0" w:firstLineChars="0"/>
                    <w:jc w:val="center"/>
                    <w:rPr>
                      <w:sz w:val="21"/>
                    </w:rPr>
                  </w:pPr>
                  <w:r>
                    <w:rPr>
                      <w:rFonts w:hint="eastAsia"/>
                      <w:sz w:val="21"/>
                    </w:rPr>
                    <w:t>健全规划环评实施机构、落实跟踪评价制度</w:t>
                  </w:r>
                </w:p>
              </w:tc>
              <w:tc>
                <w:tcPr>
                  <w:tcW w:w="4145" w:type="dxa"/>
                  <w:tcBorders>
                    <w:tl2br w:val="nil"/>
                    <w:tr2bl w:val="nil"/>
                  </w:tcBorders>
                  <w:vAlign w:val="center"/>
                </w:tcPr>
                <w:p>
                  <w:pPr>
                    <w:spacing w:line="240" w:lineRule="auto"/>
                    <w:ind w:firstLine="210" w:firstLineChars="100"/>
                    <w:rPr>
                      <w:sz w:val="21"/>
                    </w:rPr>
                  </w:pPr>
                  <w:r>
                    <w:rPr>
                      <w:sz w:val="21"/>
                    </w:rPr>
                    <w:t>高新区规划实施过程应重视规划环评成果的运用，落实《报告书》及审查意见提出的优化调整建议和减轻不良生态环境影响的各项措施。对可能导致区域环境质量下降、生态功能退化，实施五年以上且未发生重大调整，应及时开展规划环境影响跟踪评价，规划修编时应重新编制环境影响报告书。</w:t>
                  </w:r>
                </w:p>
              </w:tc>
              <w:tc>
                <w:tcPr>
                  <w:tcW w:w="2367" w:type="dxa"/>
                  <w:tcBorders>
                    <w:tl2br w:val="nil"/>
                    <w:tr2bl w:val="nil"/>
                  </w:tcBorders>
                  <w:vAlign w:val="center"/>
                </w:tcPr>
                <w:p>
                  <w:pPr>
                    <w:spacing w:line="240" w:lineRule="auto"/>
                    <w:ind w:firstLine="210" w:firstLineChars="100"/>
                    <w:rPr>
                      <w:sz w:val="21"/>
                    </w:rPr>
                  </w:pPr>
                  <w:r>
                    <w:rPr>
                      <w:rFonts w:hint="eastAsia"/>
                      <w:sz w:val="21"/>
                    </w:rPr>
                    <w:t>本项目租用盛泰源50亩现有场地，不新增用地。在采取环保措施后，本项目对当地生态环境影响较小。</w:t>
                  </w:r>
                </w:p>
              </w:tc>
              <w:tc>
                <w:tcPr>
                  <w:tcW w:w="811" w:type="dxa"/>
                  <w:tcBorders>
                    <w:tl2br w:val="nil"/>
                    <w:tr2bl w:val="nil"/>
                  </w:tcBorders>
                  <w:vAlign w:val="center"/>
                </w:tcPr>
                <w:p>
                  <w:pPr>
                    <w:spacing w:line="240" w:lineRule="auto"/>
                    <w:ind w:firstLine="0" w:firstLineChars="0"/>
                    <w:jc w:val="center"/>
                    <w:rPr>
                      <w:sz w:val="21"/>
                    </w:rPr>
                  </w:pPr>
                  <w:r>
                    <w:rPr>
                      <w:rFonts w:hint="eastAsia"/>
                      <w:sz w:val="21"/>
                    </w:rPr>
                    <w:t>符合</w:t>
                  </w:r>
                </w:p>
              </w:tc>
            </w:tr>
          </w:tbl>
          <w:p>
            <w:pPr>
              <w:ind w:firstLine="480"/>
            </w:pPr>
            <w:r>
              <w:rPr>
                <w:rFonts w:hint="eastAsia"/>
              </w:rPr>
              <w:t>经表1-4分析，本项目的建设符合《尧都高新技术产业开发区总体规划（2020-2035年）环境影响报告书》审查意见。</w:t>
            </w:r>
          </w:p>
          <w:p>
            <w:pPr>
              <w:pStyle w:val="33"/>
              <w:spacing w:after="0" w:line="240" w:lineRule="auto"/>
              <w:ind w:left="0" w:leftChars="0" w:firstLine="0" w:firstLineChars="0"/>
            </w:pPr>
          </w:p>
          <w:p>
            <w:pPr>
              <w:pStyle w:val="33"/>
              <w:spacing w:after="0" w:line="240" w:lineRule="auto"/>
              <w:ind w:left="0" w:leftChars="0" w:firstLine="0" w:firstLineChars="0"/>
            </w:pPr>
          </w:p>
          <w:p>
            <w:pPr>
              <w:pStyle w:val="33"/>
              <w:spacing w:after="0" w:line="240" w:lineRule="auto"/>
              <w:ind w:left="0" w:leftChars="0"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92" w:type="dxa"/>
          <w:trHeight w:val="4868" w:hRule="atLeast"/>
          <w:jc w:val="center"/>
        </w:trPr>
        <w:tc>
          <w:tcPr>
            <w:tcW w:w="575" w:type="dxa"/>
            <w:gridSpan w:val="2"/>
            <w:vAlign w:val="center"/>
          </w:tcPr>
          <w:p>
            <w:pPr>
              <w:autoSpaceDE w:val="0"/>
              <w:autoSpaceDN w:val="0"/>
              <w:adjustRightInd w:val="0"/>
              <w:snapToGrid w:val="0"/>
              <w:spacing w:line="240" w:lineRule="auto"/>
              <w:ind w:firstLine="0" w:firstLineChars="0"/>
              <w:jc w:val="center"/>
              <w:rPr>
                <w:rFonts w:cs="Times New Roman"/>
                <w:kern w:val="0"/>
                <w:szCs w:val="21"/>
              </w:rPr>
            </w:pPr>
            <w:r>
              <w:rPr>
                <w:rFonts w:cs="Times New Roman"/>
                <w:kern w:val="0"/>
                <w:szCs w:val="21"/>
              </w:rPr>
              <w:t>其他符合性分析</w:t>
            </w:r>
          </w:p>
        </w:tc>
        <w:tc>
          <w:tcPr>
            <w:tcW w:w="8295" w:type="dxa"/>
            <w:gridSpan w:val="4"/>
            <w:vAlign w:val="center"/>
          </w:tcPr>
          <w:p>
            <w:pPr>
              <w:ind w:firstLine="482"/>
              <w:rPr>
                <w:b/>
                <w:bCs/>
              </w:rPr>
            </w:pPr>
            <w:r>
              <w:rPr>
                <w:rFonts w:hint="eastAsia"/>
                <w:b/>
                <w:bCs/>
              </w:rPr>
              <w:t>1.4与《产业结构调整指导目录（2019年版）》的符合性分析</w:t>
            </w:r>
          </w:p>
          <w:p>
            <w:pPr>
              <w:ind w:firstLine="480"/>
            </w:pPr>
            <w:r>
              <w:rPr>
                <w:rFonts w:hint="eastAsia"/>
              </w:rPr>
              <w:t>根据</w:t>
            </w:r>
            <w:r>
              <w:t>《产业结构调整指导目录（2019年本）》和《国家发展改革委关于修改〈产业结构调整指导目录（2019年本）〉的决定》，本项目</w:t>
            </w:r>
            <w:r>
              <w:rPr>
                <w:rFonts w:hint="eastAsia"/>
              </w:rPr>
              <w:t>为废金属回收加工项目，属于“鼓励类”中“四十三-5区域性废旧汽车、废旧电器电子产品、废旧船舶、废钢铁、废旧木材、废旧橡胶等资源循环利用基地建设”。</w:t>
            </w:r>
            <w:r>
              <w:t>因此，本项目符合国家产业政策。</w:t>
            </w:r>
          </w:p>
          <w:p>
            <w:pPr>
              <w:ind w:firstLine="482"/>
              <w:rPr>
                <w:b/>
                <w:bCs/>
              </w:rPr>
            </w:pPr>
            <w:r>
              <w:rPr>
                <w:rFonts w:hint="eastAsia"/>
                <w:b/>
                <w:bCs/>
              </w:rPr>
              <w:t>1.5“三线一单”符合性分析</w:t>
            </w:r>
          </w:p>
          <w:p>
            <w:pPr>
              <w:ind w:firstLine="480"/>
            </w:pPr>
            <w:r>
              <w:t>根据环环评〔2016〕150号《关于以改善环境质量为考核加强环境影响评价管理的通知》，</w:t>
            </w:r>
            <w:r>
              <w:rPr>
                <w:rFonts w:hint="eastAsia"/>
              </w:rPr>
              <w:t>“</w:t>
            </w:r>
            <w:r>
              <w:t>三线一单</w:t>
            </w:r>
            <w:r>
              <w:rPr>
                <w:rFonts w:hint="eastAsia"/>
              </w:rPr>
              <w:t>”</w:t>
            </w:r>
            <w:r>
              <w:t>即：</w:t>
            </w:r>
            <w:r>
              <w:rPr>
                <w:rFonts w:hint="eastAsia"/>
              </w:rPr>
              <w:t>“</w:t>
            </w:r>
            <w:r>
              <w:t>生态保护红线、环境质量底线、资源利用上线和环境准入负面清单</w:t>
            </w:r>
            <w:r>
              <w:rPr>
                <w:rFonts w:hint="eastAsia"/>
              </w:rPr>
              <w:t>”</w:t>
            </w:r>
            <w:r>
              <w:t>，项目建设应强化</w:t>
            </w:r>
            <w:r>
              <w:rPr>
                <w:rFonts w:hint="eastAsia"/>
              </w:rPr>
              <w:t>“</w:t>
            </w:r>
            <w:r>
              <w:t>三线一单</w:t>
            </w:r>
            <w:r>
              <w:rPr>
                <w:rFonts w:hint="eastAsia"/>
              </w:rPr>
              <w:t>”</w:t>
            </w:r>
            <w:r>
              <w:t>约束作用。</w:t>
            </w:r>
          </w:p>
          <w:p>
            <w:pPr>
              <w:ind w:firstLine="482"/>
              <w:rPr>
                <w:b/>
                <w:bCs/>
              </w:rPr>
            </w:pPr>
            <w:r>
              <w:rPr>
                <w:rFonts w:hint="eastAsia"/>
                <w:b/>
                <w:bCs/>
              </w:rPr>
              <w:t>（1）生态保护红线</w:t>
            </w:r>
          </w:p>
          <w:p>
            <w:pPr>
              <w:ind w:firstLine="480"/>
            </w:pPr>
            <w:r>
              <w:rPr>
                <w:rFonts w:hint="eastAsia"/>
              </w:rPr>
              <w:t>本项目位于山西省临汾市尧都区大阳镇王雅村西1.1km处，租用盛泰源50亩场地，其占地性质为工业用地。本项目不在《生态保护红线划定技术指南》中规定的“重点生态功能区、生态敏感区/脆弱区、禁止开发区及其他具有重要生态功能或生态环境敏感、脆弱的区域”等生态敏感因素区域内，另外项目的建设符合尧都区两区规划的要求。</w:t>
            </w:r>
          </w:p>
          <w:p>
            <w:pPr>
              <w:ind w:firstLine="480"/>
            </w:pPr>
            <w:r>
              <w:rPr>
                <w:rFonts w:hint="eastAsia"/>
              </w:rPr>
              <w:t>根据《山西省人民政府关于实施“三线一单”生态环境分区管控的意见》晋政发【2020】26号，本项目所在区域为重点管控单元（附图6）。根据《临汾市人民政府关于印发临汾市“三线一单”生态环境分区管控实施方案的通知》（临政发[2010]10号），本项目所在区域为重点管控单元（附图7）。</w:t>
            </w:r>
          </w:p>
          <w:p>
            <w:pPr>
              <w:ind w:firstLine="480"/>
            </w:pPr>
            <w:r>
              <w:rPr>
                <w:rFonts w:hint="eastAsia"/>
              </w:rPr>
              <w:t>因此，本项目的建设不违背生态保护红线的要求。</w:t>
            </w:r>
          </w:p>
          <w:p>
            <w:pPr>
              <w:ind w:firstLine="482"/>
              <w:rPr>
                <w:b/>
                <w:bCs/>
              </w:rPr>
            </w:pPr>
            <w:r>
              <w:rPr>
                <w:rFonts w:hint="eastAsia"/>
                <w:b/>
                <w:bCs/>
              </w:rPr>
              <w:t>（2）</w:t>
            </w:r>
            <w:r>
              <w:rPr>
                <w:b/>
                <w:bCs/>
              </w:rPr>
              <w:t>环境质量底线</w:t>
            </w:r>
          </w:p>
          <w:p>
            <w:pPr>
              <w:ind w:firstLine="482"/>
            </w:pPr>
            <w:r>
              <w:rPr>
                <w:rFonts w:hint="eastAsia"/>
                <w:b/>
                <w:bCs/>
              </w:rPr>
              <w:t>环境空气：</w:t>
            </w:r>
            <w:r>
              <w:rPr>
                <w:rFonts w:hint="eastAsia"/>
              </w:rPr>
              <w:t>本次评价收集到临汾市尧都区2021年全年例行监测数据，根据监测统计结果知：SO</w:t>
            </w:r>
            <w:r>
              <w:rPr>
                <w:rFonts w:hint="eastAsia"/>
                <w:vertAlign w:val="subscript"/>
              </w:rPr>
              <w:t>2</w:t>
            </w:r>
            <w:r>
              <w:rPr>
                <w:rFonts w:hint="eastAsia"/>
              </w:rPr>
              <w:t>、NO</w:t>
            </w:r>
            <w:r>
              <w:rPr>
                <w:rFonts w:hint="eastAsia"/>
                <w:vertAlign w:val="subscript"/>
              </w:rPr>
              <w:t>2</w:t>
            </w:r>
            <w:r>
              <w:rPr>
                <w:rFonts w:hint="eastAsia"/>
              </w:rPr>
              <w:t>、CO（24小时平均）均能满足《环境空气质量标准》（GB3095-2012及2018年修改单）二级标准相关限值要求；PM</w:t>
            </w:r>
            <w:r>
              <w:rPr>
                <w:rFonts w:hint="eastAsia"/>
                <w:vertAlign w:val="subscript"/>
              </w:rPr>
              <w:t>2.5</w:t>
            </w:r>
            <w:r>
              <w:rPr>
                <w:rFonts w:hint="eastAsia"/>
              </w:rPr>
              <w:t>、PM</w:t>
            </w:r>
            <w:r>
              <w:rPr>
                <w:rFonts w:hint="eastAsia"/>
                <w:vertAlign w:val="subscript"/>
              </w:rPr>
              <w:t>10</w:t>
            </w:r>
            <w:r>
              <w:rPr>
                <w:rFonts w:hint="eastAsia"/>
              </w:rPr>
              <w:t>、O</w:t>
            </w:r>
            <w:r>
              <w:rPr>
                <w:rFonts w:hint="eastAsia"/>
                <w:vertAlign w:val="subscript"/>
              </w:rPr>
              <w:t>3</w:t>
            </w:r>
            <w:r>
              <w:rPr>
                <w:rFonts w:hint="eastAsia"/>
              </w:rPr>
              <w:t>（日最大8小时平均）不满足《环境空气质量标准》（GB3095-2012及2018年修改单）二级标准相关限值要求。根据《环境影响评价技术导则  大气环境》（HJ/2.2-2018），尧都区属于环境空气质量不达标区。</w:t>
            </w:r>
          </w:p>
          <w:p>
            <w:pPr>
              <w:ind w:firstLine="480"/>
            </w:pPr>
            <w:r>
              <w:rPr>
                <w:rFonts w:hint="eastAsia"/>
              </w:rPr>
              <w:t>本项目特征污染物为颗粒物。本次评价引用《山西纳海鸣建材有限公司年产8万吨岩棉板生产线升级改造项目环境质量现状委托监测报告》。根据监测报告，纳海鸣厂址和王雅村TSP浓度均能够满足《环境空气质量标准》（GB3095-2012）二级标准限值：24小时平均浓度范围300</w:t>
            </w:r>
            <w:r>
              <w:rPr>
                <w:rFonts w:cs="Times New Roman"/>
              </w:rPr>
              <w:t>μ</w:t>
            </w:r>
            <w:r>
              <w:rPr>
                <w:rFonts w:hint="eastAsia"/>
              </w:rPr>
              <w:t>g/m</w:t>
            </w:r>
            <w:r>
              <w:rPr>
                <w:rFonts w:hint="eastAsia"/>
                <w:vertAlign w:val="superscript"/>
              </w:rPr>
              <w:t>3</w:t>
            </w:r>
            <w:r>
              <w:rPr>
                <w:rFonts w:hint="eastAsia"/>
              </w:rPr>
              <w:t>。</w:t>
            </w:r>
          </w:p>
          <w:p>
            <w:pPr>
              <w:ind w:firstLine="482"/>
            </w:pPr>
            <w:r>
              <w:rPr>
                <w:rFonts w:hint="eastAsia"/>
                <w:b/>
                <w:bCs/>
              </w:rPr>
              <w:t>地表水：</w:t>
            </w:r>
            <w:r>
              <w:rPr>
                <w:rFonts w:hint="eastAsia"/>
              </w:rPr>
              <w:t>项目厂址下游最近的地表水体为洰河，属于汾河一级支流。根据《山西省地表水水环境功能区划》(DB14/67-2019)，项目所在区域位于“涝河、洰河水库出口-入汾河”段，水环境功能为农业用水保护，执行《地表水环境质量标准》(GB3838-2002)中V类标准。根据《2021年国、省考断面水质类别情况》显示：尧都区涝、洰河高河村西断面2021年水质为Ⅳ类，该河段水质基本良好。</w:t>
            </w:r>
          </w:p>
          <w:p>
            <w:pPr>
              <w:ind w:firstLine="480"/>
            </w:pPr>
            <w:r>
              <w:rPr>
                <w:rFonts w:hint="eastAsia"/>
              </w:rPr>
              <w:t>本项目废气主要是无组织颗粒物的排放，在采取封闭车间作业、车间定期清扫、生产设备布置远离敏感目标的措施后，可有效降低无组织颗粒物的排放；废水主要是生活废水和洗车废水，生活废水依托东方恒略生活污水处理站处理，处理后用于高炉冲渣。洗车依托东方恒略洗车平台，洗车废水经沉淀后循环使用不外排。经分析本项目排放的污染物不会明显增加对区域环境的压力，符合区域环境质量底线管控要求。因此，本项目可以满足环境质量底线要求。</w:t>
            </w:r>
          </w:p>
          <w:p>
            <w:pPr>
              <w:ind w:firstLine="482"/>
              <w:rPr>
                <w:b/>
                <w:bCs/>
              </w:rPr>
            </w:pPr>
            <w:r>
              <w:rPr>
                <w:rFonts w:hint="eastAsia"/>
                <w:b/>
                <w:bCs/>
              </w:rPr>
              <w:t>（3）资源利用上线</w:t>
            </w:r>
          </w:p>
          <w:p>
            <w:pPr>
              <w:ind w:firstLine="480"/>
              <w:rPr>
                <w:color w:val="auto"/>
              </w:rPr>
            </w:pPr>
            <w:r>
              <w:rPr>
                <w:color w:val="auto"/>
              </w:rPr>
              <w:t>资源利用上线是各地区能源、水、土地等资源消耗不得突破的</w:t>
            </w:r>
            <w:r>
              <w:rPr>
                <w:rFonts w:hint="eastAsia"/>
                <w:color w:val="auto"/>
              </w:rPr>
              <w:t>“</w:t>
            </w:r>
            <w:r>
              <w:rPr>
                <w:color w:val="auto"/>
              </w:rPr>
              <w:t>天花板</w:t>
            </w:r>
            <w:r>
              <w:rPr>
                <w:rFonts w:hint="eastAsia"/>
                <w:color w:val="auto"/>
              </w:rPr>
              <w:t>”</w:t>
            </w:r>
            <w:r>
              <w:rPr>
                <w:color w:val="auto"/>
              </w:rPr>
              <w:t>。</w:t>
            </w:r>
            <w:r>
              <w:rPr>
                <w:rFonts w:hint="eastAsia"/>
                <w:color w:val="auto"/>
              </w:rPr>
              <w:t>项目主要能源消耗为电</w:t>
            </w:r>
            <w:r>
              <w:rPr>
                <w:rFonts w:hint="eastAsia"/>
                <w:color w:val="auto"/>
                <w:lang w:val="en-US" w:eastAsia="zh-CN"/>
              </w:rPr>
              <w:t>和水</w:t>
            </w:r>
            <w:r>
              <w:rPr>
                <w:rFonts w:hint="eastAsia"/>
                <w:color w:val="auto"/>
              </w:rPr>
              <w:t>，</w:t>
            </w:r>
            <w:r>
              <w:rPr>
                <w:rFonts w:hint="eastAsia"/>
                <w:color w:val="auto"/>
                <w:lang w:val="en-US" w:eastAsia="zh-CN"/>
              </w:rPr>
              <w:t>电</w:t>
            </w:r>
            <w:r>
              <w:rPr>
                <w:rFonts w:hint="eastAsia"/>
                <w:color w:val="auto"/>
              </w:rPr>
              <w:t>年</w:t>
            </w:r>
            <w:r>
              <w:rPr>
                <w:rFonts w:hint="eastAsia"/>
                <w:color w:val="auto"/>
                <w:lang w:val="en-US" w:eastAsia="zh-CN"/>
              </w:rPr>
              <w:t>消耗量</w:t>
            </w:r>
            <w:r>
              <w:rPr>
                <w:rFonts w:hint="eastAsia"/>
                <w:color w:val="auto"/>
              </w:rPr>
              <w:t>为140万kW•h/a，</w:t>
            </w:r>
            <w:r>
              <w:rPr>
                <w:rFonts w:hint="eastAsia"/>
                <w:color w:val="auto"/>
                <w:lang w:val="en-US" w:eastAsia="zh-CN"/>
              </w:rPr>
              <w:t>水年消耗825t/a，</w:t>
            </w:r>
            <w:r>
              <w:rPr>
                <w:rFonts w:hint="eastAsia"/>
                <w:color w:val="auto"/>
              </w:rPr>
              <w:t>能耗较低，不超出当地资源利用上线。</w:t>
            </w:r>
            <w:r>
              <w:rPr>
                <w:rFonts w:hint="eastAsia"/>
                <w:color w:val="auto"/>
                <w:lang w:val="en-US" w:eastAsia="zh-CN"/>
              </w:rPr>
              <w:t>且</w:t>
            </w:r>
            <w:r>
              <w:rPr>
                <w:rFonts w:hint="eastAsia"/>
                <w:color w:val="auto"/>
              </w:rPr>
              <w:t>本项目为废金属回收加工项目，</w:t>
            </w:r>
            <w:r>
              <w:rPr>
                <w:rFonts w:hint="eastAsia"/>
                <w:color w:val="auto"/>
                <w:lang w:val="en-US" w:eastAsia="zh-CN"/>
              </w:rPr>
              <w:t>属于废旧资源利用</w:t>
            </w:r>
            <w:r>
              <w:rPr>
                <w:rFonts w:hint="eastAsia"/>
                <w:color w:val="auto"/>
                <w:lang w:eastAsia="zh-CN"/>
              </w:rPr>
              <w:t>，</w:t>
            </w:r>
            <w:r>
              <w:rPr>
                <w:rFonts w:hint="eastAsia"/>
                <w:color w:val="auto"/>
                <w:lang w:val="en-US" w:eastAsia="zh-CN"/>
              </w:rPr>
              <w:t>可</w:t>
            </w:r>
            <w:r>
              <w:rPr>
                <w:rFonts w:hint="eastAsia"/>
                <w:color w:val="auto"/>
              </w:rPr>
              <w:t>提高</w:t>
            </w:r>
            <w:r>
              <w:rPr>
                <w:rFonts w:hint="eastAsia"/>
                <w:color w:val="auto"/>
                <w:lang w:val="en-US" w:eastAsia="zh-CN"/>
              </w:rPr>
              <w:t>周边地区废旧金属</w:t>
            </w:r>
            <w:r>
              <w:rPr>
                <w:rFonts w:hint="eastAsia"/>
                <w:color w:val="auto"/>
              </w:rPr>
              <w:t>的资源利用率。</w:t>
            </w:r>
          </w:p>
          <w:p>
            <w:pPr>
              <w:ind w:firstLine="482"/>
              <w:rPr>
                <w:b/>
                <w:bCs/>
              </w:rPr>
            </w:pPr>
            <w:r>
              <w:rPr>
                <w:rFonts w:hint="eastAsia"/>
                <w:b/>
                <w:bCs/>
              </w:rPr>
              <w:t>（4）生态环境准入清单</w:t>
            </w:r>
          </w:p>
          <w:p>
            <w:pPr>
              <w:ind w:firstLine="480"/>
            </w:pPr>
            <w:r>
              <w:rPr>
                <w:rFonts w:hint="eastAsia"/>
              </w:rPr>
              <w:t>经表1-3分析，项目的建设符合《尧都高新技术产业开发区总体规划（2020-2035）环境影响报告书》生态环境准入清单要求。</w:t>
            </w:r>
          </w:p>
          <w:p>
            <w:pPr>
              <w:ind w:firstLine="480"/>
            </w:pPr>
            <w:r>
              <w:rPr>
                <w:rFonts w:hint="eastAsia"/>
              </w:rPr>
              <w:t>本项目建设情况与《</w:t>
            </w:r>
            <w:r>
              <w:t>临汾市</w:t>
            </w:r>
            <w:r>
              <w:rPr>
                <w:rFonts w:hint="eastAsia"/>
              </w:rPr>
              <w:t>“</w:t>
            </w:r>
            <w:r>
              <w:t>三线一单</w:t>
            </w:r>
            <w:r>
              <w:rPr>
                <w:rFonts w:hint="eastAsia"/>
              </w:rPr>
              <w:t>”</w:t>
            </w:r>
            <w:r>
              <w:t>生态环境分区管控实施方案</w:t>
            </w:r>
            <w:r>
              <w:rPr>
                <w:rFonts w:hint="eastAsia"/>
              </w:rPr>
              <w:t>》（临政发［2021］10号）的符合性分析见表1-5。</w:t>
            </w:r>
          </w:p>
          <w:p>
            <w:pPr>
              <w:pStyle w:val="33"/>
              <w:spacing w:after="0" w:line="240" w:lineRule="auto"/>
              <w:ind w:left="0" w:leftChars="0" w:firstLine="0" w:firstLineChars="0"/>
              <w:jc w:val="center"/>
              <w:rPr>
                <w:b/>
                <w:bCs/>
                <w:sz w:val="21"/>
                <w:szCs w:val="21"/>
              </w:rPr>
            </w:pPr>
            <w:r>
              <w:rPr>
                <w:rFonts w:hint="eastAsia"/>
                <w:b/>
                <w:bCs/>
                <w:sz w:val="21"/>
                <w:szCs w:val="21"/>
              </w:rPr>
              <w:t>表1-5  项目与临汾市生态环境总体准入管控要求的符合性</w:t>
            </w:r>
          </w:p>
          <w:tbl>
            <w:tblPr>
              <w:tblStyle w:val="35"/>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1"/>
              <w:gridCol w:w="385"/>
              <w:gridCol w:w="3768"/>
              <w:gridCol w:w="2550"/>
              <w:gridCol w:w="6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691" w:type="dxa"/>
                  <w:tcBorders>
                    <w:bottom w:val="single" w:color="auto" w:sz="12" w:space="0"/>
                  </w:tcBorders>
                  <w:vAlign w:val="center"/>
                </w:tcPr>
                <w:p>
                  <w:pPr>
                    <w:pStyle w:val="44"/>
                    <w:spacing w:line="240" w:lineRule="auto"/>
                    <w:ind w:firstLine="0" w:firstLineChars="0"/>
                    <w:jc w:val="center"/>
                    <w:rPr>
                      <w:rFonts w:ascii="Times New Roman" w:hAnsi="Times New Roman" w:eastAsia="宋体"/>
                      <w:b/>
                      <w:bCs/>
                      <w:sz w:val="21"/>
                    </w:rPr>
                  </w:pPr>
                  <w:r>
                    <w:rPr>
                      <w:rFonts w:hint="eastAsia" w:ascii="Times New Roman" w:hAnsi="Times New Roman" w:eastAsia="宋体"/>
                      <w:b/>
                      <w:bCs/>
                      <w:sz w:val="21"/>
                    </w:rPr>
                    <w:t>管控类别</w:t>
                  </w:r>
                </w:p>
              </w:tc>
              <w:tc>
                <w:tcPr>
                  <w:tcW w:w="4154" w:type="dxa"/>
                  <w:gridSpan w:val="2"/>
                  <w:tcBorders>
                    <w:bottom w:val="single" w:color="auto" w:sz="12" w:space="0"/>
                  </w:tcBorders>
                  <w:vAlign w:val="center"/>
                </w:tcPr>
                <w:p>
                  <w:pPr>
                    <w:pStyle w:val="44"/>
                    <w:spacing w:line="240" w:lineRule="auto"/>
                    <w:ind w:firstLine="0" w:firstLineChars="0"/>
                    <w:jc w:val="center"/>
                    <w:rPr>
                      <w:rFonts w:ascii="Times New Roman" w:hAnsi="Times New Roman" w:eastAsia="宋体"/>
                      <w:b/>
                      <w:bCs/>
                      <w:sz w:val="21"/>
                    </w:rPr>
                  </w:pPr>
                  <w:r>
                    <w:rPr>
                      <w:rFonts w:hint="eastAsia" w:ascii="Times New Roman" w:hAnsi="Times New Roman" w:eastAsia="宋体"/>
                      <w:b/>
                      <w:bCs/>
                      <w:sz w:val="21"/>
                    </w:rPr>
                    <w:t>管控要求</w:t>
                  </w:r>
                </w:p>
              </w:tc>
              <w:tc>
                <w:tcPr>
                  <w:tcW w:w="2550" w:type="dxa"/>
                  <w:tcBorders>
                    <w:bottom w:val="single" w:color="auto" w:sz="12" w:space="0"/>
                  </w:tcBorders>
                  <w:vAlign w:val="center"/>
                </w:tcPr>
                <w:p>
                  <w:pPr>
                    <w:pStyle w:val="44"/>
                    <w:spacing w:line="240" w:lineRule="auto"/>
                    <w:ind w:firstLine="0" w:firstLineChars="0"/>
                    <w:jc w:val="center"/>
                    <w:rPr>
                      <w:rFonts w:ascii="Times New Roman" w:hAnsi="Times New Roman" w:eastAsia="宋体"/>
                      <w:b/>
                      <w:bCs/>
                      <w:sz w:val="21"/>
                    </w:rPr>
                  </w:pPr>
                  <w:r>
                    <w:rPr>
                      <w:rFonts w:hint="eastAsia" w:ascii="Times New Roman" w:hAnsi="Times New Roman" w:eastAsia="宋体"/>
                      <w:b/>
                      <w:bCs/>
                      <w:sz w:val="21"/>
                    </w:rPr>
                    <w:t>项目情况</w:t>
                  </w:r>
                </w:p>
              </w:tc>
              <w:tc>
                <w:tcPr>
                  <w:tcW w:w="685" w:type="dxa"/>
                  <w:tcBorders>
                    <w:bottom w:val="single" w:color="auto" w:sz="12" w:space="0"/>
                  </w:tcBorders>
                  <w:vAlign w:val="center"/>
                </w:tcPr>
                <w:p>
                  <w:pPr>
                    <w:pStyle w:val="44"/>
                    <w:spacing w:line="240" w:lineRule="auto"/>
                    <w:ind w:firstLine="0" w:firstLineChars="0"/>
                    <w:jc w:val="center"/>
                    <w:rPr>
                      <w:rFonts w:ascii="Times New Roman" w:hAnsi="Times New Roman" w:eastAsia="宋体"/>
                      <w:b/>
                      <w:bCs/>
                      <w:sz w:val="21"/>
                    </w:rPr>
                  </w:pPr>
                  <w:r>
                    <w:rPr>
                      <w:rFonts w:hint="eastAsia" w:ascii="Times New Roman" w:hAnsi="Times New Roman" w:eastAsia="宋体"/>
                      <w:b/>
                      <w:bCs/>
                      <w:sz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7" w:hRule="atLeast"/>
              </w:trPr>
              <w:tc>
                <w:tcPr>
                  <w:tcW w:w="691" w:type="dxa"/>
                  <w:vMerge w:val="restart"/>
                  <w:tcBorders>
                    <w:top w:val="single" w:color="auto" w:sz="12" w:space="0"/>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空间布局约束</w:t>
                  </w:r>
                </w:p>
              </w:tc>
              <w:tc>
                <w:tcPr>
                  <w:tcW w:w="4154" w:type="dxa"/>
                  <w:gridSpan w:val="2"/>
                  <w:tcBorders>
                    <w:top w:val="single" w:color="auto" w:sz="12" w:space="0"/>
                  </w:tcBorders>
                  <w:vAlign w:val="center"/>
                </w:tcPr>
                <w:p>
                  <w:pPr>
                    <w:pStyle w:val="44"/>
                    <w:spacing w:line="240" w:lineRule="auto"/>
                    <w:ind w:firstLine="0" w:firstLineChars="0"/>
                    <w:rPr>
                      <w:rFonts w:ascii="Times New Roman" w:hAnsi="Times New Roman" w:eastAsia="宋体"/>
                      <w:sz w:val="21"/>
                    </w:rPr>
                  </w:pPr>
                  <w:r>
                    <w:rPr>
                      <w:rFonts w:ascii="Times New Roman" w:hAnsi="Times New Roman" w:eastAsia="宋体"/>
                      <w:sz w:val="21"/>
                    </w:rPr>
                    <w:t>1</w:t>
                  </w:r>
                  <w:r>
                    <w:rPr>
                      <w:rFonts w:hint="eastAsia" w:ascii="Times New Roman" w:hAnsi="Times New Roman" w:eastAsia="宋体"/>
                      <w:sz w:val="21"/>
                    </w:rPr>
                    <w:t>、</w:t>
                  </w:r>
                  <w:r>
                    <w:rPr>
                      <w:rFonts w:ascii="Times New Roman" w:hAnsi="Times New Roman" w:eastAsia="宋体"/>
                      <w:sz w:val="21"/>
                    </w:rPr>
                    <w:t>遏制</w:t>
                  </w:r>
                  <w:r>
                    <w:rPr>
                      <w:rFonts w:hint="eastAsia" w:ascii="Times New Roman" w:hAnsi="Times New Roman" w:eastAsia="宋体"/>
                      <w:sz w:val="21"/>
                    </w:rPr>
                    <w:t>“</w:t>
                  </w:r>
                  <w:r>
                    <w:rPr>
                      <w:rFonts w:ascii="Times New Roman" w:hAnsi="Times New Roman" w:eastAsia="宋体"/>
                      <w:sz w:val="21"/>
                    </w:rPr>
                    <w:t>两高</w:t>
                  </w:r>
                  <w:r>
                    <w:rPr>
                      <w:rFonts w:hint="eastAsia" w:ascii="Times New Roman" w:hAnsi="Times New Roman" w:eastAsia="宋体"/>
                      <w:sz w:val="21"/>
                    </w:rPr>
                    <w:t>”</w:t>
                  </w:r>
                  <w:r>
                    <w:rPr>
                      <w:rFonts w:ascii="Times New Roman" w:hAnsi="Times New Roman" w:eastAsia="宋体"/>
                      <w:sz w:val="21"/>
                    </w:rPr>
                    <w:t>项目盲目扩张。新建、改建、扩建</w:t>
                  </w:r>
                  <w:r>
                    <w:rPr>
                      <w:rFonts w:hint="eastAsia" w:ascii="Times New Roman" w:hAnsi="Times New Roman" w:eastAsia="宋体"/>
                      <w:sz w:val="21"/>
                    </w:rPr>
                    <w:t>“</w:t>
                  </w:r>
                  <w:r>
                    <w:rPr>
                      <w:rFonts w:ascii="Times New Roman" w:hAnsi="Times New Roman" w:eastAsia="宋体"/>
                      <w:sz w:val="21"/>
                    </w:rPr>
                    <w:t>两高</w:t>
                  </w:r>
                  <w:r>
                    <w:rPr>
                      <w:rFonts w:hint="eastAsia" w:ascii="Times New Roman" w:hAnsi="Times New Roman" w:eastAsia="宋体"/>
                      <w:sz w:val="21"/>
                    </w:rPr>
                    <w:t>”</w:t>
                  </w:r>
                  <w:r>
                    <w:rPr>
                      <w:rFonts w:ascii="Times New Roman" w:hAnsi="Times New Roman" w:eastAsia="宋体"/>
                      <w:sz w:val="21"/>
                    </w:rPr>
                    <w:t>项目须符合生态环境保护法律法规和相关法定规划，满足重点污染物排放总量控制、碳排放达峰目标、生态环境准入清单、相关规划环评和相应行业建设项目环境准入条件、环评文件审批原则要求。</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2</w:t>
                  </w:r>
                  <w:r>
                    <w:rPr>
                      <w:rFonts w:hint="eastAsia" w:ascii="Times New Roman" w:hAnsi="Times New Roman" w:eastAsia="宋体"/>
                      <w:sz w:val="21"/>
                    </w:rPr>
                    <w:t>、</w:t>
                  </w:r>
                  <w:r>
                    <w:rPr>
                      <w:rFonts w:ascii="Times New Roman" w:hAnsi="Times New Roman" w:eastAsia="宋体"/>
                      <w:sz w:val="21"/>
                    </w:rPr>
                    <w:t>新建</w:t>
                  </w:r>
                  <w:r>
                    <w:rPr>
                      <w:rFonts w:hint="eastAsia" w:ascii="Times New Roman" w:hAnsi="Times New Roman" w:eastAsia="宋体"/>
                      <w:sz w:val="21"/>
                    </w:rPr>
                    <w:t>“</w:t>
                  </w:r>
                  <w:r>
                    <w:rPr>
                      <w:rFonts w:ascii="Times New Roman" w:hAnsi="Times New Roman" w:eastAsia="宋体"/>
                      <w:sz w:val="21"/>
                    </w:rPr>
                    <w:t>两高</w:t>
                  </w:r>
                  <w:r>
                    <w:rPr>
                      <w:rFonts w:hint="eastAsia" w:ascii="Times New Roman" w:hAnsi="Times New Roman" w:eastAsia="宋体"/>
                      <w:sz w:val="21"/>
                    </w:rPr>
                    <w:t>”</w:t>
                  </w:r>
                  <w:r>
                    <w:rPr>
                      <w:rFonts w:ascii="Times New Roman" w:hAnsi="Times New Roman" w:eastAsia="宋体"/>
                      <w:sz w:val="21"/>
                    </w:rPr>
                    <w:t>项目应按照《关于加强重点行业建设项目区域削减措施监督管理的通知》要求，依据区域环境质量改善目标</w:t>
                  </w:r>
                  <w:r>
                    <w:rPr>
                      <w:rFonts w:hint="eastAsia" w:ascii="Times New Roman" w:hAnsi="Times New Roman" w:eastAsia="宋体"/>
                      <w:sz w:val="21"/>
                    </w:rPr>
                    <w:t>，</w:t>
                  </w:r>
                  <w:r>
                    <w:rPr>
                      <w:rFonts w:ascii="Times New Roman" w:hAnsi="Times New Roman" w:eastAsia="宋体"/>
                      <w:sz w:val="21"/>
                    </w:rPr>
                    <w:t>制定配套区域污染物削减方案，采取有效的污染物区域削减措施</w:t>
                  </w:r>
                  <w:r>
                    <w:rPr>
                      <w:rFonts w:hint="eastAsia" w:ascii="Times New Roman" w:hAnsi="Times New Roman" w:eastAsia="宋体"/>
                      <w:sz w:val="21"/>
                    </w:rPr>
                    <w:t>，</w:t>
                  </w:r>
                  <w:r>
                    <w:rPr>
                      <w:rFonts w:ascii="Times New Roman" w:hAnsi="Times New Roman" w:eastAsia="宋体"/>
                      <w:sz w:val="21"/>
                    </w:rPr>
                    <w:t>腾出足够的环境容量。</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3</w:t>
                  </w:r>
                  <w:r>
                    <w:rPr>
                      <w:rFonts w:hint="eastAsia" w:ascii="Times New Roman" w:hAnsi="Times New Roman" w:eastAsia="宋体"/>
                      <w:sz w:val="21"/>
                    </w:rPr>
                    <w:t>、</w:t>
                  </w:r>
                  <w:r>
                    <w:rPr>
                      <w:rFonts w:ascii="Times New Roman" w:hAnsi="Times New Roman" w:eastAsia="宋体"/>
                      <w:sz w:val="21"/>
                    </w:rPr>
                    <w:t>新建、扩建</w:t>
                  </w:r>
                  <w:r>
                    <w:rPr>
                      <w:rFonts w:hint="eastAsia" w:ascii="Times New Roman" w:hAnsi="Times New Roman" w:eastAsia="宋体"/>
                      <w:sz w:val="21"/>
                    </w:rPr>
                    <w:t>“</w:t>
                  </w:r>
                  <w:r>
                    <w:rPr>
                      <w:rFonts w:ascii="Times New Roman" w:hAnsi="Times New Roman" w:eastAsia="宋体"/>
                      <w:sz w:val="21"/>
                    </w:rPr>
                    <w:t>两高</w:t>
                  </w:r>
                  <w:r>
                    <w:rPr>
                      <w:rFonts w:hint="eastAsia" w:ascii="Times New Roman" w:hAnsi="Times New Roman" w:eastAsia="宋体"/>
                      <w:sz w:val="21"/>
                    </w:rPr>
                    <w:t>”</w:t>
                  </w:r>
                  <w:r>
                    <w:rPr>
                      <w:rFonts w:ascii="Times New Roman" w:hAnsi="Times New Roman" w:eastAsia="宋体"/>
                      <w:sz w:val="21"/>
                    </w:rPr>
                    <w:t>项目应采用先进适用的工艺技术和装备，单位产品物耗、能耗、水耗等达到清洁生产先进水平，依法制定并严格落实防治土壤与地下水污染的措施。</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4</w:t>
                  </w:r>
                  <w:r>
                    <w:rPr>
                      <w:rFonts w:hint="eastAsia" w:ascii="Times New Roman" w:hAnsi="Times New Roman" w:eastAsia="宋体"/>
                      <w:sz w:val="21"/>
                    </w:rPr>
                    <w:t>、</w:t>
                  </w:r>
                  <w:r>
                    <w:rPr>
                      <w:rFonts w:ascii="Times New Roman" w:hAnsi="Times New Roman" w:eastAsia="宋体"/>
                      <w:sz w:val="21"/>
                    </w:rPr>
                    <w:t>优化焦化钢铁企业布局。汾河谷地平川区域焦化企业按照</w:t>
                  </w:r>
                  <w:r>
                    <w:rPr>
                      <w:rFonts w:hint="eastAsia" w:ascii="Times New Roman" w:hAnsi="Times New Roman" w:eastAsia="宋体"/>
                      <w:sz w:val="21"/>
                    </w:rPr>
                    <w:t>“</w:t>
                  </w:r>
                  <w:r>
                    <w:rPr>
                      <w:rFonts w:ascii="Times New Roman" w:hAnsi="Times New Roman" w:eastAsia="宋体"/>
                      <w:sz w:val="21"/>
                    </w:rPr>
                    <w:t>退城入园、退川入谷</w:t>
                  </w:r>
                  <w:r>
                    <w:rPr>
                      <w:rFonts w:hint="eastAsia" w:ascii="Times New Roman" w:hAnsi="Times New Roman" w:eastAsia="宋体"/>
                      <w:sz w:val="21"/>
                    </w:rPr>
                    <w:t>”</w:t>
                  </w:r>
                  <w:r>
                    <w:rPr>
                      <w:rFonts w:ascii="Times New Roman" w:hAnsi="Times New Roman" w:eastAsia="宋体"/>
                      <w:sz w:val="21"/>
                    </w:rPr>
                    <w:t>的原则，钢铁企业按照</w:t>
                  </w:r>
                  <w:r>
                    <w:rPr>
                      <w:rFonts w:hint="eastAsia" w:ascii="Times New Roman" w:hAnsi="Times New Roman" w:eastAsia="宋体"/>
                      <w:sz w:val="21"/>
                    </w:rPr>
                    <w:t>“</w:t>
                  </w:r>
                  <w:r>
                    <w:rPr>
                      <w:rFonts w:ascii="Times New Roman" w:hAnsi="Times New Roman" w:eastAsia="宋体"/>
                      <w:sz w:val="21"/>
                    </w:rPr>
                    <w:t>入园入区，集聚发展</w:t>
                  </w:r>
                  <w:r>
                    <w:rPr>
                      <w:rFonts w:hint="eastAsia" w:ascii="Times New Roman" w:hAnsi="Times New Roman" w:eastAsia="宋体"/>
                      <w:sz w:val="21"/>
                    </w:rPr>
                    <w:t>”</w:t>
                  </w:r>
                  <w:r>
                    <w:rPr>
                      <w:rFonts w:ascii="Times New Roman" w:hAnsi="Times New Roman" w:eastAsia="宋体"/>
                      <w:sz w:val="21"/>
                    </w:rPr>
                    <w:t>的要求，实施关小上大、转型升级、布局调整。</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5</w:t>
                  </w:r>
                  <w:r>
                    <w:rPr>
                      <w:rFonts w:hint="eastAsia" w:ascii="Times New Roman" w:hAnsi="Times New Roman" w:eastAsia="宋体"/>
                      <w:sz w:val="21"/>
                    </w:rPr>
                    <w:t>、</w:t>
                  </w:r>
                  <w:r>
                    <w:rPr>
                      <w:rFonts w:ascii="Times New Roman" w:hAnsi="Times New Roman" w:eastAsia="宋体"/>
                      <w:sz w:val="21"/>
                    </w:rPr>
                    <w:t>市区城市规划区155平方公里区域范围内禁止建设洗选煤企业；高铁、高速沿线两侧1公里范围内不得新建洗选煤企业。</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6</w:t>
                  </w:r>
                  <w:r>
                    <w:rPr>
                      <w:rFonts w:hint="eastAsia" w:ascii="Times New Roman" w:hAnsi="Times New Roman" w:eastAsia="宋体"/>
                      <w:sz w:val="21"/>
                    </w:rPr>
                    <w:t>、</w:t>
                  </w:r>
                  <w:r>
                    <w:rPr>
                      <w:rFonts w:ascii="Times New Roman" w:hAnsi="Times New Roman" w:eastAsia="宋体"/>
                      <w:sz w:val="21"/>
                    </w:rPr>
                    <w:t>对洗选煤企业项目建设审批手续不全的、违规占用基本农田、在自然保护区、风景名胜区、集中式饮用水水源保护区、泉域重点保护区、湿地公园、森林公园、山西省永久性生态公益林等依法划定需特别保护的环境敏感区范围内的项目予以取缔关闭</w:t>
                  </w:r>
                  <w:r>
                    <w:rPr>
                      <w:rFonts w:hint="eastAsia" w:ascii="Times New Roman" w:hAnsi="Times New Roman" w:eastAsia="宋体"/>
                      <w:sz w:val="21"/>
                    </w:rPr>
                    <w:t>。</w:t>
                  </w:r>
                </w:p>
              </w:tc>
              <w:tc>
                <w:tcPr>
                  <w:tcW w:w="2550" w:type="dxa"/>
                  <w:vMerge w:val="restart"/>
                  <w:tcBorders>
                    <w:top w:val="single" w:color="auto" w:sz="12" w:space="0"/>
                  </w:tcBorders>
                  <w:vAlign w:val="center"/>
                </w:tcPr>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1、本项目属于废金属回收加工项目，不属于“两高”项目。</w:t>
                  </w:r>
                </w:p>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4、本项目不属于“两高”项目，且位于尧都高新技术产业开发区大阳高端装备制造产业园。</w:t>
                  </w:r>
                </w:p>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5、本项目厂址不在临汾市城市总体规划中心城区规划范围内。</w:t>
                  </w:r>
                </w:p>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6、本项目不占用基本农田、在自然保护区、风景名胜区、集中式饮用水水源保护区、泉域重点保护区、湿地公园、森林公园、山西省永久性生态公益林等。</w:t>
                  </w:r>
                </w:p>
              </w:tc>
              <w:tc>
                <w:tcPr>
                  <w:tcW w:w="685" w:type="dxa"/>
                  <w:vMerge w:val="restart"/>
                  <w:tcBorders>
                    <w:top w:val="single" w:color="auto" w:sz="12" w:space="0"/>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2" w:hRule="atLeast"/>
              </w:trPr>
              <w:tc>
                <w:tcPr>
                  <w:tcW w:w="691" w:type="dxa"/>
                  <w:vMerge w:val="restart"/>
                  <w:tcBorders>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污染物排放管控</w:t>
                  </w:r>
                </w:p>
              </w:tc>
              <w:tc>
                <w:tcPr>
                  <w:tcW w:w="4154" w:type="dxa"/>
                  <w:gridSpan w:val="2"/>
                  <w:tcBorders>
                    <w:tl2br w:val="nil"/>
                    <w:tr2bl w:val="nil"/>
                  </w:tcBorders>
                  <w:vAlign w:val="center"/>
                </w:tcPr>
                <w:p>
                  <w:pPr>
                    <w:pStyle w:val="44"/>
                    <w:spacing w:line="240" w:lineRule="auto"/>
                    <w:ind w:firstLine="0" w:firstLineChars="0"/>
                    <w:rPr>
                      <w:rFonts w:ascii="Times New Roman" w:hAnsi="Times New Roman" w:eastAsia="宋体"/>
                      <w:sz w:val="21"/>
                    </w:rPr>
                  </w:pPr>
                  <w:r>
                    <w:rPr>
                      <w:rFonts w:ascii="Times New Roman" w:hAnsi="Times New Roman" w:eastAsia="宋体"/>
                      <w:sz w:val="21"/>
                    </w:rPr>
                    <w:t>1</w:t>
                  </w:r>
                  <w:r>
                    <w:rPr>
                      <w:rFonts w:hint="eastAsia" w:ascii="Times New Roman" w:hAnsi="Times New Roman" w:eastAsia="宋体"/>
                      <w:sz w:val="21"/>
                    </w:rPr>
                    <w:t>、</w:t>
                  </w:r>
                  <w:r>
                    <w:rPr>
                      <w:rFonts w:ascii="Times New Roman" w:hAnsi="Times New Roman" w:eastAsia="宋体"/>
                      <w:sz w:val="21"/>
                    </w:rPr>
                    <w:t>定期通报降尘量监测结果，降尘量最高值高于9吨/月·平方公里的市县要开展降尘专项整治。</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2</w:t>
                  </w:r>
                  <w:r>
                    <w:rPr>
                      <w:rFonts w:hint="eastAsia" w:ascii="Times New Roman" w:hAnsi="Times New Roman" w:eastAsia="宋体"/>
                      <w:sz w:val="21"/>
                    </w:rPr>
                    <w:t>、</w:t>
                  </w:r>
                  <w:r>
                    <w:rPr>
                      <w:rFonts w:ascii="Times New Roman" w:hAnsi="Times New Roman" w:eastAsia="宋体"/>
                      <w:sz w:val="21"/>
                    </w:rPr>
                    <w:t>2021年10月底前，全面完成钢铁企业在产设备超低排放改造。</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3</w:t>
                  </w:r>
                  <w:r>
                    <w:rPr>
                      <w:rFonts w:hint="eastAsia" w:ascii="Times New Roman" w:hAnsi="Times New Roman" w:eastAsia="宋体"/>
                      <w:sz w:val="21"/>
                    </w:rPr>
                    <w:t>、</w:t>
                  </w:r>
                  <w:r>
                    <w:rPr>
                      <w:rFonts w:ascii="Times New Roman" w:hAnsi="Times New Roman" w:eastAsia="宋体"/>
                      <w:sz w:val="21"/>
                    </w:rPr>
                    <w:t>焦化行业超低排放改造于2023年底前全部完成。</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4</w:t>
                  </w:r>
                  <w:r>
                    <w:rPr>
                      <w:rFonts w:hint="eastAsia" w:ascii="Times New Roman" w:hAnsi="Times New Roman" w:eastAsia="宋体"/>
                      <w:sz w:val="21"/>
                    </w:rPr>
                    <w:t>、</w:t>
                  </w:r>
                  <w:r>
                    <w:rPr>
                      <w:rFonts w:ascii="Times New Roman" w:hAnsi="Times New Roman" w:eastAsia="宋体"/>
                      <w:sz w:val="21"/>
                    </w:rPr>
                    <w:t>年货运量150万吨以上工业企业公路运输的车辆要全部达到国五及以上标准，其中位于市区规划区的钢铁等企业</w:t>
                  </w:r>
                  <w:r>
                    <w:rPr>
                      <w:rFonts w:hint="eastAsia" w:ascii="Times New Roman" w:hAnsi="Times New Roman" w:eastAsia="宋体"/>
                      <w:sz w:val="21"/>
                    </w:rPr>
                    <w:t>，</w:t>
                  </w:r>
                  <w:r>
                    <w:rPr>
                      <w:rFonts w:ascii="Times New Roman" w:hAnsi="Times New Roman" w:eastAsia="宋体"/>
                      <w:sz w:val="21"/>
                    </w:rPr>
                    <w:t>进出厂大宗物料2021年10月1日前要全部采用铁路或管道、管状带式输送机等清洁方式运输，公路运输采用国六排放标准及以上的汽车或新能源车辆</w:t>
                  </w:r>
                  <w:r>
                    <w:rPr>
                      <w:rFonts w:hint="eastAsia" w:ascii="Times New Roman" w:hAnsi="Times New Roman" w:eastAsia="宋体"/>
                      <w:sz w:val="21"/>
                    </w:rPr>
                    <w:t>。</w:t>
                  </w:r>
                </w:p>
              </w:tc>
              <w:tc>
                <w:tcPr>
                  <w:tcW w:w="2550" w:type="dxa"/>
                  <w:vMerge w:val="restart"/>
                  <w:tcBorders>
                    <w:tl2br w:val="nil"/>
                    <w:tr2bl w:val="nil"/>
                  </w:tcBorders>
                  <w:vAlign w:val="center"/>
                </w:tcPr>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本项目年运输量为5万吨特种金属＜150万吨物料规定，不属于大宗物料运输，运输车辆</w:t>
                  </w:r>
                  <w:r>
                    <w:rPr>
                      <w:rFonts w:ascii="Times New Roman" w:hAnsi="Times New Roman" w:eastAsia="宋体"/>
                      <w:sz w:val="21"/>
                    </w:rPr>
                    <w:t>采用国六</w:t>
                  </w:r>
                  <w:r>
                    <w:rPr>
                      <w:rFonts w:hint="eastAsia" w:ascii="Times New Roman" w:hAnsi="Times New Roman" w:eastAsia="宋体"/>
                      <w:sz w:val="21"/>
                      <w:lang w:val="en-US" w:eastAsia="zh-CN"/>
                    </w:rPr>
                    <w:t>排放标准</w:t>
                  </w:r>
                  <w:r>
                    <w:rPr>
                      <w:rFonts w:hint="eastAsia" w:ascii="Times New Roman" w:hAnsi="Times New Roman" w:eastAsia="宋体"/>
                      <w:sz w:val="21"/>
                    </w:rPr>
                    <w:t>或新能源汽车。</w:t>
                  </w:r>
                </w:p>
              </w:tc>
              <w:tc>
                <w:tcPr>
                  <w:tcW w:w="685" w:type="dxa"/>
                  <w:vMerge w:val="restart"/>
                  <w:tcBorders>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691" w:type="dxa"/>
                  <w:vMerge w:val="restart"/>
                  <w:tcBorders>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环境风险防控</w:t>
                  </w:r>
                </w:p>
              </w:tc>
              <w:tc>
                <w:tcPr>
                  <w:tcW w:w="4154" w:type="dxa"/>
                  <w:gridSpan w:val="2"/>
                  <w:tcBorders>
                    <w:tl2br w:val="nil"/>
                    <w:tr2bl w:val="nil"/>
                  </w:tcBorders>
                </w:tcPr>
                <w:p>
                  <w:pPr>
                    <w:pStyle w:val="44"/>
                    <w:spacing w:line="240" w:lineRule="auto"/>
                    <w:ind w:firstLine="0" w:firstLineChars="0"/>
                    <w:rPr>
                      <w:rFonts w:ascii="Times New Roman" w:hAnsi="Times New Roman" w:eastAsia="宋体"/>
                      <w:sz w:val="21"/>
                    </w:rPr>
                  </w:pPr>
                  <w:r>
                    <w:rPr>
                      <w:rFonts w:ascii="Times New Roman" w:hAnsi="Times New Roman" w:eastAsia="宋体"/>
                      <w:sz w:val="21"/>
                    </w:rPr>
                    <w:t>1</w:t>
                  </w:r>
                  <w:r>
                    <w:rPr>
                      <w:rFonts w:hint="eastAsia" w:ascii="Times New Roman" w:hAnsi="Times New Roman" w:eastAsia="宋体"/>
                      <w:sz w:val="21"/>
                    </w:rPr>
                    <w:t>、</w:t>
                  </w:r>
                  <w:r>
                    <w:rPr>
                      <w:rFonts w:ascii="Times New Roman" w:hAnsi="Times New Roman" w:eastAsia="宋体"/>
                      <w:sz w:val="21"/>
                    </w:rPr>
                    <w:t>项目防护距离应符合相关国家标准或规范要求。装置外部安全防护距离要符合《危险化学品生产、储存装置个人可接受风险标准和社会可接受风险标准》要求。</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2</w:t>
                  </w:r>
                  <w:r>
                    <w:rPr>
                      <w:rFonts w:hint="eastAsia" w:ascii="Times New Roman" w:hAnsi="Times New Roman" w:eastAsia="宋体"/>
                      <w:sz w:val="21"/>
                    </w:rPr>
                    <w:t>、</w:t>
                  </w:r>
                  <w:r>
                    <w:rPr>
                      <w:rFonts w:ascii="Times New Roman" w:hAnsi="Times New Roman" w:eastAsia="宋体"/>
                      <w:sz w:val="21"/>
                    </w:rPr>
                    <w:t>在环境风险防控重点区域如居民集中区、医院和学校附近、重要水源涵养生态功能区等，以及因环境污染导致环境质量不能稳定达标的区域内，禁止新建或扩建可能引发环境风险的项目。</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3</w:t>
                  </w:r>
                  <w:r>
                    <w:rPr>
                      <w:rFonts w:hint="eastAsia" w:ascii="Times New Roman" w:hAnsi="Times New Roman" w:eastAsia="宋体"/>
                      <w:sz w:val="21"/>
                    </w:rPr>
                    <w:t>、</w:t>
                  </w:r>
                  <w:r>
                    <w:rPr>
                      <w:rFonts w:ascii="Times New Roman" w:hAnsi="Times New Roman" w:eastAsia="宋体"/>
                      <w:sz w:val="21"/>
                    </w:rPr>
                    <w:t>加强汾河、沁河等流域及饮用水水源地水环境风险防控工作，确定重点水环境风险源清单，建立应急物资储备库及保障机制。</w:t>
                  </w:r>
                </w:p>
              </w:tc>
              <w:tc>
                <w:tcPr>
                  <w:tcW w:w="2550" w:type="dxa"/>
                  <w:vMerge w:val="restart"/>
                  <w:tcBorders>
                    <w:tl2br w:val="nil"/>
                    <w:tr2bl w:val="nil"/>
                  </w:tcBorders>
                  <w:vAlign w:val="center"/>
                </w:tcPr>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1、本项目属于废金属回收加工项目，无防护距离的要求。</w:t>
                  </w:r>
                </w:p>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2、本项目不在</w:t>
                  </w:r>
                  <w:r>
                    <w:rPr>
                      <w:rFonts w:ascii="Times New Roman" w:hAnsi="Times New Roman" w:eastAsia="宋体"/>
                      <w:sz w:val="21"/>
                    </w:rPr>
                    <w:t>居民集中区、医院和学校附近、重要水源涵养生态功能区</w:t>
                  </w:r>
                  <w:r>
                    <w:rPr>
                      <w:rFonts w:hint="eastAsia" w:ascii="Times New Roman" w:hAnsi="Times New Roman" w:eastAsia="宋体"/>
                      <w:sz w:val="21"/>
                    </w:rPr>
                    <w:t>内。</w:t>
                  </w:r>
                  <w:r>
                    <w:rPr>
                      <w:rFonts w:ascii="Times New Roman" w:hAnsi="Times New Roman" w:eastAsia="宋体"/>
                      <w:sz w:val="21"/>
                    </w:rPr>
                    <w:t>项目</w:t>
                  </w:r>
                  <w:r>
                    <w:rPr>
                      <w:rFonts w:hint="eastAsia" w:ascii="Times New Roman" w:hAnsi="Times New Roman" w:eastAsia="宋体"/>
                      <w:sz w:val="21"/>
                    </w:rPr>
                    <w:t>风险物质主要是废机油和废液压油</w:t>
                  </w:r>
                  <w:r>
                    <w:rPr>
                      <w:rFonts w:ascii="Times New Roman" w:hAnsi="Times New Roman" w:eastAsia="宋体"/>
                      <w:sz w:val="21"/>
                    </w:rPr>
                    <w:t>，环境风险潜势为I。</w:t>
                  </w:r>
                  <w:r>
                    <w:rPr>
                      <w:rFonts w:hint="eastAsia" w:ascii="Times New Roman" w:hAnsi="Times New Roman" w:eastAsia="宋体"/>
                      <w:sz w:val="21"/>
                    </w:rPr>
                    <w:t>危险废物暂存危废暂存间，定期交由有资质单位处理。</w:t>
                  </w:r>
                </w:p>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3、项目北距涝河1.9km，南距洰河2km，东南距卧虎山集中式水源地7.4km。项目</w:t>
                  </w:r>
                  <w:r>
                    <w:rPr>
                      <w:rFonts w:ascii="Times New Roman" w:hAnsi="Times New Roman" w:eastAsia="宋体"/>
                      <w:sz w:val="21"/>
                    </w:rPr>
                    <w:t>建立应急物资储备库及保障机制。</w:t>
                  </w:r>
                </w:p>
              </w:tc>
              <w:tc>
                <w:tcPr>
                  <w:tcW w:w="685" w:type="dxa"/>
                  <w:vMerge w:val="restart"/>
                  <w:tcBorders>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2" w:hRule="atLeast"/>
              </w:trPr>
              <w:tc>
                <w:tcPr>
                  <w:tcW w:w="691" w:type="dxa"/>
                  <w:vMerge w:val="restart"/>
                  <w:tcBorders>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资源利用效率</w:t>
                  </w:r>
                </w:p>
              </w:tc>
              <w:tc>
                <w:tcPr>
                  <w:tcW w:w="385" w:type="dxa"/>
                  <w:tcBorders>
                    <w:tl2br w:val="nil"/>
                    <w:tr2bl w:val="nil"/>
                  </w:tcBorders>
                  <w:vAlign w:val="center"/>
                </w:tcPr>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水资源利用</w:t>
                  </w:r>
                </w:p>
              </w:tc>
              <w:tc>
                <w:tcPr>
                  <w:tcW w:w="3769" w:type="dxa"/>
                  <w:tcBorders>
                    <w:tl2br w:val="nil"/>
                    <w:tr2bl w:val="nil"/>
                  </w:tcBorders>
                  <w:vAlign w:val="center"/>
                </w:tcPr>
                <w:p>
                  <w:pPr>
                    <w:pStyle w:val="44"/>
                    <w:spacing w:line="240" w:lineRule="auto"/>
                    <w:ind w:firstLine="0" w:firstLineChars="0"/>
                    <w:rPr>
                      <w:rFonts w:ascii="Times New Roman" w:hAnsi="Times New Roman" w:eastAsia="宋体"/>
                      <w:sz w:val="21"/>
                    </w:rPr>
                  </w:pPr>
                  <w:r>
                    <w:rPr>
                      <w:rFonts w:ascii="Times New Roman" w:hAnsi="Times New Roman" w:eastAsia="宋体"/>
                      <w:sz w:val="21"/>
                    </w:rPr>
                    <w:t>1</w:t>
                  </w:r>
                  <w:r>
                    <w:rPr>
                      <w:rFonts w:hint="eastAsia" w:ascii="Times New Roman" w:hAnsi="Times New Roman" w:eastAsia="宋体"/>
                      <w:sz w:val="21"/>
                    </w:rPr>
                    <w:t>、</w:t>
                  </w:r>
                  <w:r>
                    <w:rPr>
                      <w:rFonts w:ascii="Times New Roman" w:hAnsi="Times New Roman" w:eastAsia="宋体"/>
                      <w:sz w:val="21"/>
                    </w:rPr>
                    <w:t>水资源利用上线严格落实</w:t>
                  </w:r>
                  <w:r>
                    <w:rPr>
                      <w:rFonts w:hint="eastAsia" w:ascii="Times New Roman" w:hAnsi="Times New Roman" w:eastAsia="宋体"/>
                      <w:sz w:val="21"/>
                    </w:rPr>
                    <w:t>“</w:t>
                  </w:r>
                  <w:r>
                    <w:rPr>
                      <w:rFonts w:ascii="Times New Roman" w:hAnsi="Times New Roman" w:eastAsia="宋体"/>
                      <w:sz w:val="21"/>
                    </w:rPr>
                    <w:t>十四五</w:t>
                  </w:r>
                  <w:r>
                    <w:rPr>
                      <w:rFonts w:hint="eastAsia" w:ascii="Times New Roman" w:hAnsi="Times New Roman" w:eastAsia="宋体"/>
                      <w:sz w:val="21"/>
                    </w:rPr>
                    <w:t>”</w:t>
                  </w:r>
                  <w:r>
                    <w:rPr>
                      <w:rFonts w:ascii="Times New Roman" w:hAnsi="Times New Roman" w:eastAsia="宋体"/>
                      <w:sz w:val="21"/>
                    </w:rPr>
                    <w:t>相关目标指标。</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2</w:t>
                  </w:r>
                  <w:r>
                    <w:rPr>
                      <w:rFonts w:hint="eastAsia" w:ascii="Times New Roman" w:hAnsi="Times New Roman" w:eastAsia="宋体"/>
                      <w:sz w:val="21"/>
                    </w:rPr>
                    <w:t>、</w:t>
                  </w:r>
                  <w:r>
                    <w:rPr>
                      <w:rFonts w:ascii="Times New Roman" w:hAnsi="Times New Roman" w:eastAsia="宋体"/>
                      <w:sz w:val="21"/>
                    </w:rPr>
                    <w:t>实施最严格水资源管控，加强岩溶泉域水资源的保</w:t>
                  </w:r>
                  <w:r>
                    <w:rPr>
                      <w:rFonts w:hint="eastAsia" w:ascii="Times New Roman" w:hAnsi="Times New Roman" w:eastAsia="宋体"/>
                      <w:sz w:val="21"/>
                    </w:rPr>
                    <w:t>护和管理。</w:t>
                  </w:r>
                </w:p>
              </w:tc>
              <w:tc>
                <w:tcPr>
                  <w:tcW w:w="2550" w:type="dxa"/>
                  <w:tcBorders>
                    <w:tl2br w:val="nil"/>
                    <w:tr2bl w:val="nil"/>
                  </w:tcBorders>
                  <w:vAlign w:val="center"/>
                </w:tcPr>
                <w:p>
                  <w:pPr>
                    <w:pStyle w:val="44"/>
                    <w:spacing w:line="240" w:lineRule="auto"/>
                    <w:ind w:firstLine="0" w:firstLineChars="0"/>
                    <w:rPr>
                      <w:rFonts w:hint="default" w:ascii="Times New Roman" w:hAnsi="Times New Roman" w:eastAsia="宋体"/>
                      <w:sz w:val="21"/>
                      <w:lang w:val="en-US" w:eastAsia="zh-CN"/>
                    </w:rPr>
                  </w:pPr>
                  <w:r>
                    <w:rPr>
                      <w:rFonts w:hint="eastAsia" w:ascii="Times New Roman" w:hAnsi="Times New Roman" w:eastAsia="宋体"/>
                      <w:sz w:val="21"/>
                    </w:rPr>
                    <w:t>本项目项目</w:t>
                  </w:r>
                  <w:r>
                    <w:rPr>
                      <w:rFonts w:hint="eastAsia" w:ascii="Times New Roman" w:hAnsi="Times New Roman" w:eastAsia="宋体"/>
                      <w:sz w:val="21"/>
                      <w:lang w:val="en-US" w:eastAsia="zh-CN"/>
                    </w:rPr>
                    <w:t>生活</w:t>
                  </w:r>
                  <w:r>
                    <w:rPr>
                      <w:rFonts w:hint="eastAsia" w:ascii="Times New Roman" w:hAnsi="Times New Roman" w:eastAsia="宋体"/>
                      <w:sz w:val="21"/>
                    </w:rPr>
                    <w:t>用水由东方恒略自备水井供给</w:t>
                  </w:r>
                  <w:r>
                    <w:rPr>
                      <w:rFonts w:hint="eastAsia" w:ascii="Times New Roman" w:hAnsi="Times New Roman" w:eastAsia="宋体"/>
                      <w:sz w:val="21"/>
                      <w:lang w:eastAsia="zh-CN"/>
                    </w:rPr>
                    <w:t>，</w:t>
                  </w:r>
                  <w:r>
                    <w:rPr>
                      <w:rFonts w:hint="eastAsia" w:ascii="Times New Roman" w:hAnsi="Times New Roman" w:eastAsia="宋体"/>
                      <w:sz w:val="21"/>
                      <w:lang w:val="en-US" w:eastAsia="zh-CN"/>
                    </w:rPr>
                    <w:t>无生产用水。</w:t>
                  </w:r>
                </w:p>
              </w:tc>
              <w:tc>
                <w:tcPr>
                  <w:tcW w:w="685" w:type="dxa"/>
                  <w:tcBorders>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2" w:hRule="atLeast"/>
              </w:trPr>
              <w:tc>
                <w:tcPr>
                  <w:tcW w:w="691" w:type="dxa"/>
                  <w:vMerge w:val="continue"/>
                  <w:tcBorders>
                    <w:tl2br w:val="nil"/>
                    <w:tr2bl w:val="nil"/>
                  </w:tcBorders>
                  <w:vAlign w:val="center"/>
                </w:tcPr>
                <w:p>
                  <w:pPr>
                    <w:pStyle w:val="44"/>
                    <w:spacing w:line="240" w:lineRule="auto"/>
                    <w:ind w:firstLine="0" w:firstLineChars="0"/>
                    <w:jc w:val="center"/>
                    <w:rPr>
                      <w:rFonts w:ascii="Times New Roman" w:hAnsi="Times New Roman" w:eastAsia="宋体"/>
                      <w:sz w:val="21"/>
                    </w:rPr>
                  </w:pPr>
                </w:p>
              </w:tc>
              <w:tc>
                <w:tcPr>
                  <w:tcW w:w="385" w:type="dxa"/>
                  <w:tcBorders>
                    <w:tl2br w:val="nil"/>
                    <w:tr2bl w:val="nil"/>
                  </w:tcBorders>
                  <w:vAlign w:val="center"/>
                </w:tcPr>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能源利用</w:t>
                  </w:r>
                </w:p>
              </w:tc>
              <w:tc>
                <w:tcPr>
                  <w:tcW w:w="3769" w:type="dxa"/>
                  <w:tcBorders>
                    <w:tl2br w:val="nil"/>
                    <w:tr2bl w:val="nil"/>
                  </w:tcBorders>
                </w:tcPr>
                <w:p>
                  <w:pPr>
                    <w:pStyle w:val="44"/>
                    <w:spacing w:line="240" w:lineRule="auto"/>
                    <w:ind w:firstLine="0" w:firstLineChars="0"/>
                    <w:rPr>
                      <w:rFonts w:ascii="Times New Roman" w:hAnsi="Times New Roman" w:eastAsia="宋体"/>
                      <w:sz w:val="21"/>
                    </w:rPr>
                  </w:pPr>
                  <w:r>
                    <w:rPr>
                      <w:rFonts w:ascii="Times New Roman" w:hAnsi="Times New Roman" w:eastAsia="宋体"/>
                      <w:sz w:val="21"/>
                    </w:rPr>
                    <w:t>1</w:t>
                  </w:r>
                  <w:r>
                    <w:rPr>
                      <w:rFonts w:hint="eastAsia" w:ascii="Times New Roman" w:hAnsi="Times New Roman" w:eastAsia="宋体"/>
                      <w:sz w:val="21"/>
                    </w:rPr>
                    <w:t>、</w:t>
                  </w:r>
                  <w:r>
                    <w:rPr>
                      <w:rFonts w:ascii="Times New Roman" w:hAnsi="Times New Roman" w:eastAsia="宋体"/>
                      <w:sz w:val="21"/>
                    </w:rPr>
                    <w:t>到2022年，实现未达标处置存量矸石回填矿井、新建矿井不可利用矸石全部返井。</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2</w:t>
                  </w:r>
                  <w:r>
                    <w:rPr>
                      <w:rFonts w:hint="eastAsia" w:ascii="Times New Roman" w:hAnsi="Times New Roman" w:eastAsia="宋体"/>
                      <w:sz w:val="21"/>
                    </w:rPr>
                    <w:t>、</w:t>
                  </w:r>
                  <w:r>
                    <w:rPr>
                      <w:rFonts w:ascii="Times New Roman" w:hAnsi="Times New Roman" w:eastAsia="宋体"/>
                      <w:sz w:val="21"/>
                    </w:rPr>
                    <w:t>煤矿企业主要污染物达标排放率达到100%，煤矸石利用率达到75%以上。</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3</w:t>
                  </w:r>
                  <w:r>
                    <w:rPr>
                      <w:rFonts w:hint="eastAsia" w:ascii="Times New Roman" w:hAnsi="Times New Roman" w:eastAsia="宋体"/>
                      <w:sz w:val="21"/>
                    </w:rPr>
                    <w:t>、</w:t>
                  </w:r>
                  <w:r>
                    <w:rPr>
                      <w:rFonts w:ascii="Times New Roman" w:hAnsi="Times New Roman" w:eastAsia="宋体"/>
                      <w:sz w:val="21"/>
                    </w:rPr>
                    <w:t>保持煤炭消费总量负增长，积极推进碳达峰碳中和目</w:t>
                  </w:r>
                  <w:r>
                    <w:rPr>
                      <w:rFonts w:hint="eastAsia" w:ascii="Times New Roman" w:hAnsi="Times New Roman" w:eastAsia="宋体"/>
                      <w:sz w:val="21"/>
                    </w:rPr>
                    <w:t>标远景。</w:t>
                  </w:r>
                </w:p>
              </w:tc>
              <w:tc>
                <w:tcPr>
                  <w:tcW w:w="2550" w:type="dxa"/>
                  <w:tcBorders>
                    <w:tl2br w:val="nil"/>
                    <w:tr2bl w:val="nil"/>
                  </w:tcBorders>
                  <w:vAlign w:val="center"/>
                </w:tcPr>
                <w:p>
                  <w:pPr>
                    <w:spacing w:line="240" w:lineRule="auto"/>
                    <w:ind w:firstLine="0" w:firstLineChars="0"/>
                    <w:jc w:val="center"/>
                    <w:rPr>
                      <w:sz w:val="21"/>
                    </w:rPr>
                  </w:pPr>
                  <w:r>
                    <w:rPr>
                      <w:rFonts w:hint="eastAsia"/>
                      <w:sz w:val="21"/>
                    </w:rPr>
                    <w:t>/</w:t>
                  </w:r>
                </w:p>
              </w:tc>
              <w:tc>
                <w:tcPr>
                  <w:tcW w:w="685" w:type="dxa"/>
                  <w:tcBorders>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1" w:hRule="atLeast"/>
              </w:trPr>
              <w:tc>
                <w:tcPr>
                  <w:tcW w:w="691" w:type="dxa"/>
                  <w:vMerge w:val="continue"/>
                  <w:tcBorders>
                    <w:tl2br w:val="nil"/>
                    <w:tr2bl w:val="nil"/>
                  </w:tcBorders>
                  <w:vAlign w:val="center"/>
                </w:tcPr>
                <w:p>
                  <w:pPr>
                    <w:pStyle w:val="44"/>
                    <w:spacing w:line="240" w:lineRule="auto"/>
                    <w:ind w:firstLine="0" w:firstLineChars="0"/>
                    <w:jc w:val="center"/>
                    <w:rPr>
                      <w:rFonts w:ascii="Times New Roman" w:hAnsi="Times New Roman" w:eastAsia="宋体"/>
                      <w:sz w:val="21"/>
                    </w:rPr>
                  </w:pPr>
                </w:p>
              </w:tc>
              <w:tc>
                <w:tcPr>
                  <w:tcW w:w="385" w:type="dxa"/>
                  <w:tcBorders>
                    <w:tl2br w:val="nil"/>
                    <w:tr2bl w:val="nil"/>
                  </w:tcBorders>
                  <w:vAlign w:val="center"/>
                </w:tcPr>
                <w:p>
                  <w:pPr>
                    <w:pStyle w:val="44"/>
                    <w:spacing w:line="240" w:lineRule="auto"/>
                    <w:ind w:firstLine="0" w:firstLineChars="0"/>
                    <w:rPr>
                      <w:rFonts w:ascii="Times New Roman" w:hAnsi="Times New Roman" w:eastAsia="宋体"/>
                      <w:sz w:val="21"/>
                    </w:rPr>
                  </w:pPr>
                  <w:r>
                    <w:rPr>
                      <w:rFonts w:hint="eastAsia" w:ascii="Times New Roman" w:hAnsi="Times New Roman" w:eastAsia="宋体"/>
                      <w:sz w:val="21"/>
                    </w:rPr>
                    <w:t>土地资源利用</w:t>
                  </w:r>
                </w:p>
              </w:tc>
              <w:tc>
                <w:tcPr>
                  <w:tcW w:w="3769" w:type="dxa"/>
                  <w:tcBorders>
                    <w:tl2br w:val="nil"/>
                    <w:tr2bl w:val="nil"/>
                  </w:tcBorders>
                </w:tcPr>
                <w:p>
                  <w:pPr>
                    <w:pStyle w:val="44"/>
                    <w:spacing w:line="240" w:lineRule="auto"/>
                    <w:ind w:firstLine="0" w:firstLineChars="0"/>
                    <w:rPr>
                      <w:rFonts w:ascii="Times New Roman" w:hAnsi="Times New Roman" w:eastAsia="宋体"/>
                      <w:sz w:val="21"/>
                    </w:rPr>
                  </w:pPr>
                  <w:r>
                    <w:rPr>
                      <w:rFonts w:ascii="Times New Roman" w:hAnsi="Times New Roman" w:eastAsia="宋体"/>
                      <w:sz w:val="21"/>
                    </w:rPr>
                    <w:t>1</w:t>
                  </w:r>
                  <w:r>
                    <w:rPr>
                      <w:rFonts w:hint="eastAsia" w:ascii="Times New Roman" w:hAnsi="Times New Roman" w:eastAsia="宋体"/>
                      <w:sz w:val="21"/>
                    </w:rPr>
                    <w:t>、</w:t>
                  </w:r>
                  <w:r>
                    <w:rPr>
                      <w:rFonts w:ascii="Times New Roman" w:hAnsi="Times New Roman" w:eastAsia="宋体"/>
                      <w:sz w:val="21"/>
                    </w:rPr>
                    <w:t>土地资源利用上线严格落实国土空间规划和</w:t>
                  </w:r>
                  <w:r>
                    <w:rPr>
                      <w:rFonts w:hint="eastAsia" w:ascii="Times New Roman" w:hAnsi="Times New Roman" w:eastAsia="宋体"/>
                      <w:sz w:val="21"/>
                    </w:rPr>
                    <w:t>“</w:t>
                  </w:r>
                  <w:r>
                    <w:rPr>
                      <w:rFonts w:ascii="Times New Roman" w:hAnsi="Times New Roman" w:eastAsia="宋体"/>
                      <w:sz w:val="21"/>
                    </w:rPr>
                    <w:t>十四五</w:t>
                  </w:r>
                  <w:r>
                    <w:rPr>
                      <w:rFonts w:hint="eastAsia" w:ascii="Times New Roman" w:hAnsi="Times New Roman" w:eastAsia="宋体"/>
                      <w:sz w:val="21"/>
                    </w:rPr>
                    <w:t>”</w:t>
                  </w:r>
                  <w:r>
                    <w:rPr>
                      <w:rFonts w:ascii="Times New Roman" w:hAnsi="Times New Roman" w:eastAsia="宋体"/>
                      <w:sz w:val="21"/>
                    </w:rPr>
                    <w:t>相关目标指标。</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2</w:t>
                  </w:r>
                  <w:r>
                    <w:rPr>
                      <w:rFonts w:hint="eastAsia" w:ascii="Times New Roman" w:hAnsi="Times New Roman" w:eastAsia="宋体"/>
                      <w:sz w:val="21"/>
                    </w:rPr>
                    <w:t>、</w:t>
                  </w:r>
                  <w:r>
                    <w:rPr>
                      <w:rFonts w:ascii="Times New Roman" w:hAnsi="Times New Roman" w:eastAsia="宋体"/>
                      <w:sz w:val="21"/>
                    </w:rPr>
                    <w:t>严守耕地红线，坚决遏制耕地</w:t>
                  </w:r>
                  <w:r>
                    <w:rPr>
                      <w:rFonts w:hint="eastAsia" w:ascii="Times New Roman" w:hAnsi="Times New Roman" w:eastAsia="宋体"/>
                      <w:sz w:val="21"/>
                    </w:rPr>
                    <w:t>“</w:t>
                  </w:r>
                  <w:r>
                    <w:rPr>
                      <w:rFonts w:ascii="Times New Roman" w:hAnsi="Times New Roman" w:eastAsia="宋体"/>
                      <w:sz w:val="21"/>
                    </w:rPr>
                    <w:t>非农化</w:t>
                  </w:r>
                  <w:r>
                    <w:rPr>
                      <w:rFonts w:hint="eastAsia" w:ascii="Times New Roman" w:hAnsi="Times New Roman" w:eastAsia="宋体"/>
                      <w:sz w:val="21"/>
                    </w:rPr>
                    <w:t>”</w:t>
                  </w:r>
                  <w:r>
                    <w:rPr>
                      <w:rFonts w:ascii="Times New Roman" w:hAnsi="Times New Roman" w:eastAsia="宋体"/>
                      <w:sz w:val="21"/>
                    </w:rPr>
                    <w:t>，防止</w:t>
                  </w:r>
                  <w:r>
                    <w:rPr>
                      <w:rFonts w:hint="eastAsia" w:ascii="Times New Roman" w:hAnsi="Times New Roman" w:eastAsia="宋体"/>
                      <w:sz w:val="21"/>
                    </w:rPr>
                    <w:t>“</w:t>
                  </w:r>
                  <w:r>
                    <w:rPr>
                      <w:rFonts w:ascii="Times New Roman" w:hAnsi="Times New Roman" w:eastAsia="宋体"/>
                      <w:sz w:val="21"/>
                    </w:rPr>
                    <w:t>非粮化</w:t>
                  </w:r>
                  <w:r>
                    <w:rPr>
                      <w:rFonts w:hint="eastAsia" w:ascii="Times New Roman" w:hAnsi="Times New Roman" w:eastAsia="宋体"/>
                      <w:sz w:val="21"/>
                    </w:rPr>
                    <w:t>”</w:t>
                  </w:r>
                  <w:r>
                    <w:rPr>
                      <w:rFonts w:ascii="Times New Roman" w:hAnsi="Times New Roman" w:eastAsia="宋体"/>
                      <w:sz w:val="21"/>
                    </w:rPr>
                    <w:t>。</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3</w:t>
                  </w:r>
                  <w:r>
                    <w:rPr>
                      <w:rFonts w:hint="eastAsia" w:ascii="Times New Roman" w:hAnsi="Times New Roman" w:eastAsia="宋体"/>
                      <w:sz w:val="21"/>
                    </w:rPr>
                    <w:t>、</w:t>
                  </w:r>
                  <w:r>
                    <w:rPr>
                      <w:rFonts w:ascii="Times New Roman" w:hAnsi="Times New Roman" w:eastAsia="宋体"/>
                      <w:sz w:val="21"/>
                    </w:rPr>
                    <w:t>以黄河干流沿岸县</w:t>
                  </w:r>
                  <w:r>
                    <w:rPr>
                      <w:rFonts w:hint="eastAsia" w:ascii="Times New Roman" w:hAnsi="Times New Roman" w:eastAsia="宋体"/>
                      <w:sz w:val="21"/>
                    </w:rPr>
                    <w:t>（</w:t>
                  </w:r>
                  <w:r>
                    <w:rPr>
                      <w:rFonts w:ascii="Times New Roman" w:hAnsi="Times New Roman" w:eastAsia="宋体"/>
                      <w:sz w:val="21"/>
                    </w:rPr>
                    <w:t>市、区</w:t>
                  </w:r>
                  <w:r>
                    <w:rPr>
                      <w:rFonts w:hint="eastAsia" w:ascii="Times New Roman" w:hAnsi="Times New Roman" w:eastAsia="宋体"/>
                      <w:sz w:val="21"/>
                    </w:rPr>
                    <w:t>）</w:t>
                  </w:r>
                  <w:r>
                    <w:rPr>
                      <w:rFonts w:ascii="Times New Roman" w:hAnsi="Times New Roman" w:eastAsia="宋体"/>
                      <w:sz w:val="21"/>
                    </w:rPr>
                    <w:t>为重点，全面实行在</w:t>
                  </w:r>
                  <w:r>
                    <w:rPr>
                      <w:rFonts w:hint="eastAsia" w:ascii="Times New Roman" w:hAnsi="Times New Roman" w:eastAsia="宋体"/>
                      <w:sz w:val="21"/>
                    </w:rPr>
                    <w:t>塬面</w:t>
                  </w:r>
                  <w:r>
                    <w:rPr>
                      <w:rFonts w:ascii="Times New Roman" w:hAnsi="Times New Roman" w:eastAsia="宋体"/>
                      <w:sz w:val="21"/>
                    </w:rPr>
                    <w:t>修建软捻田、</w:t>
                  </w:r>
                  <w:r>
                    <w:rPr>
                      <w:rFonts w:hint="eastAsia" w:ascii="Times New Roman" w:hAnsi="Times New Roman" w:eastAsia="宋体"/>
                      <w:sz w:val="21"/>
                    </w:rPr>
                    <w:t>塬</w:t>
                  </w:r>
                  <w:r>
                    <w:rPr>
                      <w:rFonts w:ascii="Times New Roman" w:hAnsi="Times New Roman" w:eastAsia="宋体"/>
                      <w:sz w:val="21"/>
                    </w:rPr>
                    <w:t>面缓坡地建果园、陡坡耕地全面退耕造林并实行封禁、沟底打坝造地建设高标准基本农田的水土保持治理模式，促进黄河流域生态保护和高质量发展。</w:t>
                  </w:r>
                </w:p>
                <w:p>
                  <w:pPr>
                    <w:pStyle w:val="44"/>
                    <w:spacing w:line="240" w:lineRule="auto"/>
                    <w:ind w:firstLine="0" w:firstLineChars="0"/>
                    <w:rPr>
                      <w:rFonts w:ascii="Times New Roman" w:hAnsi="Times New Roman" w:eastAsia="宋体"/>
                      <w:sz w:val="21"/>
                    </w:rPr>
                  </w:pPr>
                  <w:r>
                    <w:rPr>
                      <w:rFonts w:ascii="Times New Roman" w:hAnsi="Times New Roman" w:eastAsia="宋体"/>
                      <w:sz w:val="21"/>
                    </w:rPr>
                    <w:t>4</w:t>
                  </w:r>
                  <w:r>
                    <w:rPr>
                      <w:rFonts w:hint="eastAsia" w:ascii="Times New Roman" w:hAnsi="Times New Roman" w:eastAsia="宋体"/>
                      <w:sz w:val="21"/>
                    </w:rPr>
                    <w:t>、</w:t>
                  </w:r>
                  <w:r>
                    <w:rPr>
                      <w:rFonts w:ascii="Times New Roman" w:hAnsi="Times New Roman" w:eastAsia="宋体"/>
                      <w:sz w:val="21"/>
                    </w:rPr>
                    <w:t>开展黄河流域历史遗留矿山生态修复项目，推动矿山生态恢复治理示范工程建设</w:t>
                  </w:r>
                  <w:r>
                    <w:rPr>
                      <w:rFonts w:hint="eastAsia" w:ascii="Times New Roman" w:hAnsi="Times New Roman" w:eastAsia="宋体"/>
                      <w:sz w:val="21"/>
                    </w:rPr>
                    <w:t>。</w:t>
                  </w:r>
                </w:p>
              </w:tc>
              <w:tc>
                <w:tcPr>
                  <w:tcW w:w="2550" w:type="dxa"/>
                  <w:tcBorders>
                    <w:tl2br w:val="nil"/>
                    <w:tr2bl w:val="nil"/>
                  </w:tcBorders>
                  <w:vAlign w:val="center"/>
                </w:tcPr>
                <w:p>
                  <w:pPr>
                    <w:pStyle w:val="44"/>
                    <w:spacing w:line="240" w:lineRule="auto"/>
                    <w:ind w:firstLine="0" w:firstLineChars="0"/>
                  </w:pPr>
                  <w:r>
                    <w:rPr>
                      <w:rFonts w:ascii="Times New Roman" w:hAnsi="Times New Roman" w:eastAsia="宋体"/>
                      <w:sz w:val="21"/>
                    </w:rPr>
                    <w:t>本项目位于</w:t>
                  </w:r>
                  <w:r>
                    <w:rPr>
                      <w:rFonts w:hint="eastAsia" w:ascii="Times New Roman" w:hAnsi="Times New Roman" w:eastAsia="宋体"/>
                      <w:sz w:val="21"/>
                    </w:rPr>
                    <w:t>尧都高新技术产业开发区大阳高端装备制造产业园，租用盛泰源50亩场地，占地性质为工业用地。</w:t>
                  </w:r>
                </w:p>
              </w:tc>
              <w:tc>
                <w:tcPr>
                  <w:tcW w:w="685" w:type="dxa"/>
                  <w:tcBorders>
                    <w:tl2br w:val="nil"/>
                    <w:tr2bl w:val="nil"/>
                  </w:tcBorders>
                  <w:vAlign w:val="center"/>
                </w:tcPr>
                <w:p>
                  <w:pPr>
                    <w:pStyle w:val="44"/>
                    <w:spacing w:line="240" w:lineRule="auto"/>
                    <w:ind w:firstLine="0" w:firstLineChars="0"/>
                    <w:jc w:val="center"/>
                    <w:rPr>
                      <w:rFonts w:ascii="Times New Roman" w:hAnsi="Times New Roman" w:eastAsia="宋体"/>
                      <w:sz w:val="21"/>
                    </w:rPr>
                  </w:pPr>
                  <w:r>
                    <w:rPr>
                      <w:rFonts w:hint="eastAsia" w:ascii="Times New Roman" w:hAnsi="Times New Roman" w:eastAsia="宋体"/>
                      <w:sz w:val="21"/>
                    </w:rPr>
                    <w:t>符合</w:t>
                  </w:r>
                </w:p>
              </w:tc>
            </w:tr>
          </w:tbl>
          <w:p>
            <w:pPr>
              <w:pStyle w:val="42"/>
              <w:ind w:firstLine="480"/>
              <w:rPr>
                <w:color w:val="auto"/>
              </w:rPr>
            </w:pPr>
            <w:r>
              <w:rPr>
                <w:rFonts w:hint="eastAsia"/>
                <w:color w:val="auto"/>
              </w:rPr>
              <w:t>根据表1-5分析，本项目的建设符合临汾市生态环境总体准入管控要求。</w:t>
            </w:r>
          </w:p>
          <w:p>
            <w:pPr>
              <w:ind w:firstLine="480"/>
              <w:rPr>
                <w:b/>
                <w:bCs/>
              </w:rPr>
            </w:pPr>
            <w:r>
              <w:t>综上所述，本项目</w:t>
            </w:r>
            <w:r>
              <w:rPr>
                <w:rFonts w:hint="eastAsia"/>
              </w:rPr>
              <w:t>的建设</w:t>
            </w:r>
            <w:r>
              <w:t>符合</w:t>
            </w:r>
            <w:r>
              <w:rPr>
                <w:rFonts w:hint="eastAsia"/>
              </w:rPr>
              <w:t>“</w:t>
            </w:r>
            <w:r>
              <w:t>三线一单</w:t>
            </w:r>
            <w:r>
              <w:rPr>
                <w:rFonts w:hint="eastAsia"/>
              </w:rPr>
              <w:t>”</w:t>
            </w:r>
            <w:r>
              <w:t>要求。</w:t>
            </w:r>
          </w:p>
          <w:p>
            <w:pPr>
              <w:ind w:firstLine="482"/>
              <w:rPr>
                <w:b/>
                <w:bCs/>
              </w:rPr>
            </w:pPr>
            <w:r>
              <w:rPr>
                <w:rFonts w:hint="eastAsia"/>
                <w:b/>
                <w:bCs/>
              </w:rPr>
              <w:t>1.6项目与《山西省深入推进扬尘污染治理工作方案》（晋环委办函[2022]4号）符合性分析</w:t>
            </w:r>
          </w:p>
          <w:p>
            <w:pPr>
              <w:ind w:firstLine="480"/>
            </w:pPr>
            <w:r>
              <w:rPr>
                <w:rFonts w:hint="eastAsia"/>
              </w:rPr>
              <w:t>本项目建设情况《山西省深入推进扬尘污染治理工作方案》（晋环委办函[2022]4号）的符合性分析见表1-6。</w:t>
            </w:r>
          </w:p>
          <w:p>
            <w:pPr>
              <w:spacing w:line="240" w:lineRule="auto"/>
              <w:ind w:firstLine="0" w:firstLineChars="0"/>
              <w:jc w:val="center"/>
              <w:rPr>
                <w:b/>
                <w:bCs/>
              </w:rPr>
            </w:pPr>
            <w:r>
              <w:rPr>
                <w:rFonts w:hint="eastAsia"/>
                <w:b/>
                <w:bCs/>
                <w:sz w:val="21"/>
              </w:rPr>
              <w:t>表1-6  项目与山西省深入推进扬尘污染治理工作方案的符合性分析</w:t>
            </w:r>
          </w:p>
          <w:tbl>
            <w:tblPr>
              <w:tblStyle w:val="35"/>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8"/>
              <w:gridCol w:w="4100"/>
              <w:gridCol w:w="2396"/>
              <w:gridCol w:w="9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bottom w:val="single" w:color="auto" w:sz="12" w:space="0"/>
                  </w:tcBorders>
                </w:tcPr>
                <w:p>
                  <w:pPr>
                    <w:pStyle w:val="42"/>
                    <w:spacing w:line="240" w:lineRule="auto"/>
                    <w:ind w:firstLine="0" w:firstLineChars="0"/>
                    <w:jc w:val="center"/>
                    <w:rPr>
                      <w:b/>
                      <w:bCs/>
                      <w:color w:val="auto"/>
                      <w:sz w:val="21"/>
                    </w:rPr>
                  </w:pPr>
                  <w:r>
                    <w:rPr>
                      <w:rFonts w:hint="eastAsia"/>
                      <w:b/>
                      <w:bCs/>
                      <w:color w:val="auto"/>
                      <w:sz w:val="21"/>
                    </w:rPr>
                    <w:t>序号</w:t>
                  </w:r>
                </w:p>
              </w:tc>
              <w:tc>
                <w:tcPr>
                  <w:tcW w:w="4100" w:type="dxa"/>
                  <w:tcBorders>
                    <w:bottom w:val="single" w:color="auto" w:sz="12" w:space="0"/>
                  </w:tcBorders>
                </w:tcPr>
                <w:p>
                  <w:pPr>
                    <w:pStyle w:val="42"/>
                    <w:spacing w:line="240" w:lineRule="auto"/>
                    <w:ind w:firstLine="0" w:firstLineChars="0"/>
                    <w:jc w:val="center"/>
                    <w:rPr>
                      <w:b/>
                      <w:bCs/>
                      <w:color w:val="auto"/>
                      <w:sz w:val="21"/>
                    </w:rPr>
                  </w:pPr>
                  <w:r>
                    <w:rPr>
                      <w:rFonts w:hint="eastAsia"/>
                      <w:b/>
                      <w:bCs/>
                      <w:color w:val="auto"/>
                      <w:sz w:val="21"/>
                    </w:rPr>
                    <w:t>文件要求</w:t>
                  </w:r>
                </w:p>
              </w:tc>
              <w:tc>
                <w:tcPr>
                  <w:tcW w:w="2396" w:type="dxa"/>
                  <w:tcBorders>
                    <w:bottom w:val="single" w:color="auto" w:sz="12" w:space="0"/>
                  </w:tcBorders>
                </w:tcPr>
                <w:p>
                  <w:pPr>
                    <w:pStyle w:val="42"/>
                    <w:spacing w:line="240" w:lineRule="auto"/>
                    <w:ind w:firstLine="0" w:firstLineChars="0"/>
                    <w:jc w:val="center"/>
                    <w:rPr>
                      <w:b/>
                      <w:bCs/>
                      <w:color w:val="auto"/>
                      <w:sz w:val="21"/>
                    </w:rPr>
                  </w:pPr>
                  <w:r>
                    <w:rPr>
                      <w:rFonts w:hint="eastAsia"/>
                      <w:b/>
                      <w:bCs/>
                      <w:color w:val="auto"/>
                      <w:sz w:val="21"/>
                    </w:rPr>
                    <w:t>项目情况</w:t>
                  </w:r>
                </w:p>
              </w:tc>
              <w:tc>
                <w:tcPr>
                  <w:tcW w:w="945" w:type="dxa"/>
                  <w:tcBorders>
                    <w:bottom w:val="single" w:color="auto" w:sz="12" w:space="0"/>
                  </w:tcBorders>
                </w:tcPr>
                <w:p>
                  <w:pPr>
                    <w:pStyle w:val="42"/>
                    <w:spacing w:line="240" w:lineRule="auto"/>
                    <w:ind w:firstLine="0" w:firstLineChars="0"/>
                    <w:jc w:val="center"/>
                    <w:rPr>
                      <w:b/>
                      <w:bCs/>
                      <w:color w:val="auto"/>
                      <w:sz w:val="21"/>
                    </w:rPr>
                  </w:pPr>
                  <w:r>
                    <w:rPr>
                      <w:rFonts w:hint="eastAsia"/>
                      <w:b/>
                      <w:bCs/>
                      <w:color w:val="auto"/>
                      <w:sz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op w:val="single" w:color="auto" w:sz="12" w:space="0"/>
                    <w:tl2br w:val="nil"/>
                    <w:tr2bl w:val="nil"/>
                  </w:tcBorders>
                  <w:vAlign w:val="center"/>
                </w:tcPr>
                <w:p>
                  <w:pPr>
                    <w:pStyle w:val="42"/>
                    <w:spacing w:line="240" w:lineRule="auto"/>
                    <w:ind w:firstLine="0" w:firstLineChars="0"/>
                    <w:jc w:val="center"/>
                    <w:rPr>
                      <w:color w:val="auto"/>
                      <w:sz w:val="21"/>
                    </w:rPr>
                  </w:pPr>
                  <w:r>
                    <w:rPr>
                      <w:rFonts w:hint="eastAsia"/>
                      <w:color w:val="auto"/>
                      <w:sz w:val="21"/>
                    </w:rPr>
                    <w:t>1</w:t>
                  </w:r>
                </w:p>
              </w:tc>
              <w:tc>
                <w:tcPr>
                  <w:tcW w:w="4100" w:type="dxa"/>
                  <w:tcBorders>
                    <w:top w:val="single" w:color="auto" w:sz="12" w:space="0"/>
                    <w:tl2br w:val="nil"/>
                    <w:tr2bl w:val="nil"/>
                  </w:tcBorders>
                  <w:vAlign w:val="center"/>
                </w:tcPr>
                <w:p>
                  <w:pPr>
                    <w:pStyle w:val="42"/>
                    <w:spacing w:line="240" w:lineRule="auto"/>
                    <w:ind w:firstLine="210" w:firstLineChars="100"/>
                    <w:rPr>
                      <w:color w:val="auto"/>
                      <w:sz w:val="21"/>
                    </w:rPr>
                  </w:pPr>
                  <w:r>
                    <w:rPr>
                      <w:rFonts w:hint="eastAsia"/>
                      <w:color w:val="auto"/>
                      <w:sz w:val="21"/>
                    </w:rPr>
                    <w:t>深入开展城市保洁清洗行动：对企事业单位等各类庭院、楼顶、居民小区院落、楼顶依据产权落实精细化清扫保洁，确保屋顶上无垃圾、无杂物、无明显尘土积存；院内道路清洗见本色，无积存垃圾、尘土；绿化冲洗见本色，绿地内无垃圾。此后形成长效机制，每季度至少开展一次全面的保洁清洗，巩固和保持清洗效果。</w:t>
                  </w:r>
                </w:p>
              </w:tc>
              <w:tc>
                <w:tcPr>
                  <w:tcW w:w="2396" w:type="dxa"/>
                  <w:tcBorders>
                    <w:top w:val="single" w:color="auto" w:sz="12" w:space="0"/>
                    <w:tl2br w:val="nil"/>
                    <w:tr2bl w:val="nil"/>
                  </w:tcBorders>
                  <w:vAlign w:val="center"/>
                </w:tcPr>
                <w:p>
                  <w:pPr>
                    <w:pStyle w:val="42"/>
                    <w:spacing w:line="240" w:lineRule="auto"/>
                    <w:ind w:firstLine="210" w:firstLineChars="100"/>
                    <w:rPr>
                      <w:color w:val="auto"/>
                      <w:sz w:val="21"/>
                    </w:rPr>
                  </w:pPr>
                  <w:r>
                    <w:rPr>
                      <w:rFonts w:hint="eastAsia"/>
                      <w:color w:val="auto"/>
                      <w:sz w:val="21"/>
                    </w:rPr>
                    <w:t>项目运营期，定期清扫道路，道路洒水和绿化；定期清扫保洁，确保屋顶上无垃圾、无杂物、无明显尘土积存。</w:t>
                  </w:r>
                </w:p>
              </w:tc>
              <w:tc>
                <w:tcPr>
                  <w:tcW w:w="945" w:type="dxa"/>
                  <w:tcBorders>
                    <w:top w:val="single" w:color="auto" w:sz="12" w:space="0"/>
                    <w:tl2br w:val="nil"/>
                    <w:tr2bl w:val="nil"/>
                  </w:tcBorders>
                  <w:vAlign w:val="center"/>
                </w:tcPr>
                <w:p>
                  <w:pPr>
                    <w:pStyle w:val="42"/>
                    <w:spacing w:line="240" w:lineRule="auto"/>
                    <w:ind w:firstLine="0" w:firstLineChars="0"/>
                    <w:jc w:val="center"/>
                    <w:rPr>
                      <w:color w:val="auto"/>
                      <w:sz w:val="21"/>
                    </w:rPr>
                  </w:pPr>
                  <w:r>
                    <w:rPr>
                      <w:rFonts w:hint="eastAsia"/>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2</w:t>
                  </w:r>
                </w:p>
              </w:tc>
              <w:tc>
                <w:tcPr>
                  <w:tcW w:w="4100"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深入开展工业企业无组织排放治理：厂区料场路面应实施硬化，出入口应配备车轮、车身清洗装置或者采取其他控制措施。</w:t>
                  </w:r>
                </w:p>
              </w:tc>
              <w:tc>
                <w:tcPr>
                  <w:tcW w:w="2396"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本项目采用国六</w:t>
                  </w:r>
                  <w:r>
                    <w:rPr>
                      <w:rFonts w:hint="eastAsia"/>
                      <w:color w:val="auto"/>
                      <w:sz w:val="21"/>
                      <w:lang w:val="en-US" w:eastAsia="zh-CN"/>
                    </w:rPr>
                    <w:t>排放标准汽车</w:t>
                  </w:r>
                  <w:r>
                    <w:rPr>
                      <w:rFonts w:hint="eastAsia"/>
                      <w:color w:val="auto"/>
                      <w:sz w:val="21"/>
                    </w:rPr>
                    <w:t>或新能源汽车运输废旧特种金属，对出厂车辆进行冲洗，依托东方恒略标准化洗车平台。</w:t>
                  </w:r>
                </w:p>
              </w:tc>
              <w:tc>
                <w:tcPr>
                  <w:tcW w:w="945"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3</w:t>
                  </w:r>
                </w:p>
              </w:tc>
              <w:tc>
                <w:tcPr>
                  <w:tcW w:w="4100"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深入开展施工工地扬尘污染治理：严格落实建筑施工扬尘“六个百分之百”。施工现场渣土、垃圾应及时清运，在场地内堆存的，应遮盖密闭式防尘网。扎实开展非道路移动机械监管，做好进出施工现场信息登记，严禁未经信息编码登记的非道路移动机械进入施工现场作业。</w:t>
                  </w:r>
                </w:p>
              </w:tc>
              <w:tc>
                <w:tcPr>
                  <w:tcW w:w="2396"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项目施工期主要是厂房装修和设备的安装，施工期严格落实建筑施工扬尘“六个百分之百”。施工现场渣土、垃圾应及时清运。厂内的非道路移动机械采用新能源车辆或尾气排放满足国三排放标准的车辆</w:t>
                  </w:r>
                </w:p>
              </w:tc>
              <w:tc>
                <w:tcPr>
                  <w:tcW w:w="945"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4</w:t>
                  </w:r>
                </w:p>
              </w:tc>
              <w:tc>
                <w:tcPr>
                  <w:tcW w:w="4100"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深入开展物料运输扬尘污染治理：强化散装物料运输源头监管。督促货运源头单位采取密闭或其他措施防止出场（厂）车辆发生遗撒。严禁未采取有效封闭措施货车出场（厂）。</w:t>
                  </w:r>
                </w:p>
              </w:tc>
              <w:tc>
                <w:tcPr>
                  <w:tcW w:w="2396"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本项目废旧特种金属采用吨袋包装运输。</w:t>
                  </w:r>
                </w:p>
              </w:tc>
              <w:tc>
                <w:tcPr>
                  <w:tcW w:w="945"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38"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5</w:t>
                  </w:r>
                </w:p>
              </w:tc>
              <w:tc>
                <w:tcPr>
                  <w:tcW w:w="4100"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深入开展道路扬尘污染治理：对城市建成区主次干道及人行道、慢行道，高速公路和国、省、市、县、乡级公路积土积尘进行全面清理清洗，并实行定期保洁、机械化清扫、定时洒水制度，部分路段辅以人工清扫，综合使用冲、刷、吸、扫等工艺，有条件的地方要使用道路抑尘剂，及时清理清洗积尘路面，路面范围内达到路见本色、基本无浮土。</w:t>
                  </w:r>
                </w:p>
              </w:tc>
              <w:tc>
                <w:tcPr>
                  <w:tcW w:w="2396"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项目运营期，定期清扫道路，道路洒水和绿化。</w:t>
                  </w:r>
                </w:p>
              </w:tc>
              <w:tc>
                <w:tcPr>
                  <w:tcW w:w="945"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6</w:t>
                  </w:r>
                </w:p>
              </w:tc>
              <w:tc>
                <w:tcPr>
                  <w:tcW w:w="4100"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深入开展各类露天堆场扬尘污染整治：工业企业堆场料场要建立防止扬尘的责任制度和记录台帐。块状的物料全部覆盖，暂时无法覆盖的必须规范堆放，并采取洒水或者防风抑尘网等措施减少扬尘污染。</w:t>
                  </w:r>
                </w:p>
              </w:tc>
              <w:tc>
                <w:tcPr>
                  <w:tcW w:w="2396" w:type="dxa"/>
                  <w:tcBorders>
                    <w:tl2br w:val="nil"/>
                    <w:tr2bl w:val="nil"/>
                  </w:tcBorders>
                  <w:vAlign w:val="center"/>
                </w:tcPr>
                <w:p>
                  <w:pPr>
                    <w:pStyle w:val="42"/>
                    <w:spacing w:line="240" w:lineRule="auto"/>
                    <w:ind w:firstLine="210" w:firstLineChars="100"/>
                    <w:rPr>
                      <w:color w:val="auto"/>
                      <w:sz w:val="21"/>
                    </w:rPr>
                  </w:pPr>
                  <w:r>
                    <w:rPr>
                      <w:rFonts w:hint="eastAsia"/>
                      <w:color w:val="auto"/>
                      <w:sz w:val="21"/>
                    </w:rPr>
                    <w:t>本项目建立扬尘责任制度和记录台帐，废旧特种金属储存在封闭的车间。</w:t>
                  </w:r>
                </w:p>
              </w:tc>
              <w:tc>
                <w:tcPr>
                  <w:tcW w:w="945" w:type="dxa"/>
                  <w:tcBorders>
                    <w:tl2br w:val="nil"/>
                    <w:tr2bl w:val="nil"/>
                  </w:tcBorders>
                  <w:vAlign w:val="center"/>
                </w:tcPr>
                <w:p>
                  <w:pPr>
                    <w:pStyle w:val="42"/>
                    <w:spacing w:line="240" w:lineRule="auto"/>
                    <w:ind w:firstLine="0" w:firstLineChars="0"/>
                    <w:jc w:val="center"/>
                    <w:rPr>
                      <w:color w:val="auto"/>
                      <w:sz w:val="21"/>
                    </w:rPr>
                  </w:pPr>
                  <w:r>
                    <w:rPr>
                      <w:rFonts w:hint="eastAsia"/>
                      <w:color w:val="auto"/>
                      <w:sz w:val="21"/>
                    </w:rPr>
                    <w:t>符合</w:t>
                  </w:r>
                </w:p>
              </w:tc>
            </w:tr>
          </w:tbl>
          <w:p>
            <w:pPr>
              <w:pStyle w:val="42"/>
              <w:ind w:firstLine="480"/>
              <w:rPr>
                <w:b/>
                <w:bCs/>
                <w:color w:val="auto"/>
              </w:rPr>
            </w:pPr>
            <w:r>
              <w:rPr>
                <w:rFonts w:hint="eastAsia"/>
                <w:color w:val="auto"/>
              </w:rPr>
              <w:t>根据表1-5分析，本项目的建设符合《山西省深入推进扬尘污染治理工作方案》（晋环委办函[2022]4号）的要求。</w:t>
            </w:r>
          </w:p>
          <w:p>
            <w:pPr>
              <w:ind w:firstLine="482"/>
              <w:rPr>
                <w:b/>
                <w:bCs/>
              </w:rPr>
            </w:pPr>
            <w:r>
              <w:rPr>
                <w:rFonts w:hint="eastAsia"/>
                <w:b/>
                <w:bCs/>
              </w:rPr>
              <w:t>1.7项目与</w:t>
            </w:r>
            <w:r>
              <w:rPr>
                <w:b/>
                <w:bCs/>
              </w:rPr>
              <w:t>《山西省主体功能区划》</w:t>
            </w:r>
            <w:r>
              <w:rPr>
                <w:rFonts w:hint="eastAsia"/>
                <w:b/>
                <w:bCs/>
              </w:rPr>
              <w:t>（2008-2020）的符合性分析</w:t>
            </w:r>
          </w:p>
          <w:p>
            <w:pPr>
              <w:ind w:firstLine="480"/>
            </w:pPr>
            <w:r>
              <w:rPr>
                <w:rFonts w:hint="eastAsia"/>
              </w:rPr>
              <w:t>根据《山西省主体功能区规划》临汾市属于省级重点开发区域中晋南城镇群重点开发区域，尧都区属于该重点开发区域中的“农业重点发展区”。</w:t>
            </w:r>
          </w:p>
          <w:p>
            <w:pPr>
              <w:ind w:firstLine="480"/>
            </w:pPr>
            <w:r>
              <w:rPr>
                <w:rFonts w:hint="eastAsia"/>
              </w:rPr>
              <w:t>功能定位：国家资源型经济转型与区域协调发展综合试验区，晋陕豫黄河金三角承接产业转移示范区，山西重要的现代农业、新型制造业基地与文化旅游产业基地，以根祖文化、关公文化为特色的旅游经济区，晋南地区人口和经济密集区。</w:t>
            </w:r>
          </w:p>
          <w:p>
            <w:pPr>
              <w:ind w:firstLine="480"/>
            </w:pPr>
            <w:r>
              <w:rPr>
                <w:rFonts w:hint="eastAsia"/>
              </w:rPr>
              <w:t>发展方向：按照晋南区域性中心城市、新型工业大市的定位，打临汾百里汾河经济带，积极发展现代服务业，提升区域性服务功能，以集群化和循环化为导向，大力推进工业新型化发展。</w:t>
            </w:r>
          </w:p>
          <w:p>
            <w:pPr>
              <w:ind w:firstLine="480"/>
            </w:pPr>
            <w:r>
              <w:rPr>
                <w:rFonts w:hint="eastAsia"/>
              </w:rPr>
              <w:t>能源开发布局：继续实施老矿区挖潜改造和煤炭资源整合，增强能源接续能力。</w:t>
            </w:r>
          </w:p>
          <w:p>
            <w:pPr>
              <w:ind w:firstLine="480"/>
            </w:pPr>
            <w:r>
              <w:rPr>
                <w:rFonts w:hint="eastAsia"/>
              </w:rPr>
              <w:t>本项目为</w:t>
            </w:r>
            <w:r>
              <w:rPr>
                <w:rFonts w:hint="eastAsia"/>
                <w:szCs w:val="24"/>
              </w:rPr>
              <w:t>废金属回收加工</w:t>
            </w:r>
            <w:r>
              <w:rPr>
                <w:rFonts w:hint="eastAsia"/>
              </w:rPr>
              <w:t>，其成品外售给盛泰源</w:t>
            </w:r>
            <w:r>
              <w:rPr>
                <w:rFonts w:hint="eastAsia"/>
                <w:lang w:val="en-US" w:eastAsia="zh-CN"/>
              </w:rPr>
              <w:t>和园区其他铸造公司</w:t>
            </w:r>
            <w:r>
              <w:rPr>
                <w:rFonts w:hint="eastAsia"/>
              </w:rPr>
              <w:t>作为铸件的原料</w:t>
            </w:r>
            <w:r>
              <w:rPr>
                <w:rFonts w:hint="eastAsia"/>
                <w:lang w:val="en-US" w:eastAsia="zh-CN"/>
              </w:rPr>
              <w:t>用于生产</w:t>
            </w:r>
            <w:r>
              <w:rPr>
                <w:rFonts w:hint="eastAsia"/>
              </w:rPr>
              <w:t>，与东方恒略形成“集群化”产业，有利于促进当地经济发展，符合《山西省主体功能区规划》中尧都区发展方向。</w:t>
            </w:r>
          </w:p>
          <w:p>
            <w:pPr>
              <w:ind w:left="480" w:firstLine="0" w:firstLineChars="0"/>
              <w:rPr>
                <w:rFonts w:cs="Times New Roman"/>
                <w:b/>
                <w:bCs/>
                <w:kern w:val="0"/>
                <w:szCs w:val="21"/>
              </w:rPr>
            </w:pPr>
            <w:r>
              <w:rPr>
                <w:rFonts w:hint="eastAsia"/>
                <w:b/>
                <w:bCs/>
              </w:rPr>
              <w:t>1.8项目与</w:t>
            </w:r>
            <w:r>
              <w:rPr>
                <w:rFonts w:cs="Times New Roman"/>
                <w:b/>
                <w:bCs/>
                <w:kern w:val="0"/>
                <w:szCs w:val="21"/>
              </w:rPr>
              <w:t>临汾市城市总体规划</w:t>
            </w:r>
            <w:r>
              <w:rPr>
                <w:rFonts w:hint="eastAsia" w:cs="Times New Roman"/>
                <w:b/>
                <w:bCs/>
                <w:kern w:val="0"/>
                <w:szCs w:val="21"/>
              </w:rPr>
              <w:t>的符合性分析</w:t>
            </w:r>
          </w:p>
          <w:p>
            <w:pPr>
              <w:ind w:firstLine="480"/>
            </w:pPr>
            <w:r>
              <w:t>根据临汾市城市总体规划，临汾市规划范围为东至108国道，南至南外环-108国道，西至公路西环，北至公路北环。共计为155km</w:t>
            </w:r>
            <w:r>
              <w:rPr>
                <w:vertAlign w:val="superscript"/>
              </w:rPr>
              <w:t>2</w:t>
            </w:r>
            <w:r>
              <w:t>。其中城市建设用地范围为东至108国道，南至南环城路-108国道，西至大西客运专线，北至涝洰河生态湿地，共计为89km</w:t>
            </w:r>
            <w:r>
              <w:rPr>
                <w:vertAlign w:val="superscript"/>
              </w:rPr>
              <w:t>2</w:t>
            </w:r>
            <w:r>
              <w:t>。</w:t>
            </w:r>
          </w:p>
          <w:p>
            <w:pPr>
              <w:ind w:firstLine="480"/>
            </w:pPr>
            <w:r>
              <w:rPr>
                <w:rFonts w:hint="eastAsia"/>
              </w:rPr>
              <w:t>本项目位于临汾市尧都区大阳镇王雅村西1.1km处，不在临汾市城市总体规划的中心城区规划范围内（附图8）。本项目的建设不违背临汾市城市总体规划。</w:t>
            </w:r>
          </w:p>
          <w:p>
            <w:pPr>
              <w:ind w:firstLine="482"/>
              <w:rPr>
                <w:b/>
                <w:bCs/>
              </w:rPr>
            </w:pPr>
            <w:r>
              <w:rPr>
                <w:rFonts w:hint="eastAsia"/>
                <w:b/>
                <w:bCs/>
              </w:rPr>
              <w:t>1.9项目与尧都区两区规划的符合性分析</w:t>
            </w:r>
          </w:p>
          <w:p>
            <w:pPr>
              <w:ind w:firstLine="482"/>
              <w:rPr>
                <w:b/>
                <w:bCs/>
              </w:rPr>
            </w:pPr>
            <w:r>
              <w:rPr>
                <w:rFonts w:hint="eastAsia"/>
                <w:b/>
                <w:bCs/>
              </w:rPr>
              <w:t>（1）尧都区生态功能区划</w:t>
            </w:r>
          </w:p>
          <w:p>
            <w:pPr>
              <w:ind w:firstLine="480"/>
            </w:pPr>
            <w:r>
              <w:rPr>
                <w:rFonts w:hint="eastAsia"/>
              </w:rPr>
              <w:t>根据《尧都区生态经济区划》，本项目位于Ⅷ涝、洰河水库土壤保持与营养物质保持生态功能小区（附图11）。</w:t>
            </w:r>
          </w:p>
          <w:p>
            <w:pPr>
              <w:ind w:firstLine="480"/>
            </w:pPr>
            <w:r>
              <w:rPr>
                <w:rFonts w:hint="eastAsia"/>
              </w:rPr>
              <w:t>主要问题：①水土流失比较严重。植被覆盖度低，植物种类单一，而且受到不同程度的破坏造成比较严重的水土流失现状；②水库及其湿地保护不力。库区及其湿地缺乏严格的保护措施，对尧陵景区建设与旅游发展支持力度不够；③农业结构不够合理。农业粗放式土地利用方式为主，土地利用率不高，生产力水平低下，无特色明显的绿色产品生产基地。</w:t>
            </w:r>
          </w:p>
          <w:p>
            <w:pPr>
              <w:ind w:firstLine="480"/>
            </w:pPr>
            <w:r>
              <w:rPr>
                <w:rFonts w:hint="eastAsia"/>
              </w:rPr>
              <w:t>保护措施与发展方向：①防治水土流失。封山育林，绿化荒山荒坡，增加植被覆盖；②水库湿地防护。严禁排入污水以利农田灌溉，通过水库及其湿地保护为尧陵景区建设与旅游发展奠定良好的景区生态背景；③发展生态农业。充分发挥本区的自然条件优势，农业生产由粗放型生产方式向集约型生产方式转变，建设苹果等绿色产品基地。加快农业产业化进程，形成育苗-栽植-管理-销售-加工的产业链。合理施用农药、化肥与地膜，防止面源污染。发展观光农业，丰富尧陵景区的旅游项目。</w:t>
            </w:r>
          </w:p>
          <w:p>
            <w:pPr>
              <w:ind w:firstLine="480"/>
            </w:pPr>
            <w:r>
              <w:rPr>
                <w:rFonts w:hint="eastAsia"/>
                <w:szCs w:val="24"/>
              </w:rPr>
              <w:t>本项目为废金属回收加工项目</w:t>
            </w:r>
            <w:r>
              <w:rPr>
                <w:rFonts w:hint="eastAsia"/>
              </w:rPr>
              <w:t>。运营期，大气污染物主要是少量无组织颗粒物的排放；废水主要是生活废水和洗车废水，在采取环评提出的措施后，均得到合理处置。因此，本项目的建设对该单元态环境影响较小，符合该单元的保护措施及发展方向。</w:t>
            </w:r>
          </w:p>
          <w:p>
            <w:pPr>
              <w:ind w:firstLine="482"/>
              <w:rPr>
                <w:b/>
                <w:bCs/>
              </w:rPr>
            </w:pPr>
            <w:r>
              <w:rPr>
                <w:rFonts w:hint="eastAsia"/>
                <w:b/>
                <w:bCs/>
              </w:rPr>
              <w:t>（2）尧都区生态经济区划</w:t>
            </w:r>
          </w:p>
          <w:p>
            <w:pPr>
              <w:ind w:firstLine="480"/>
            </w:pPr>
            <w:r>
              <w:rPr>
                <w:rFonts w:hint="eastAsia"/>
              </w:rPr>
              <w:t>根据《尧都区生态经济区划》，本项目位于ⅡF大阳镇集约化农牧业及旅游生态经济区（附图12）。</w:t>
            </w:r>
          </w:p>
          <w:p>
            <w:pPr>
              <w:ind w:firstLine="480"/>
            </w:pPr>
            <w:r>
              <w:rPr>
                <w:rFonts w:hint="eastAsia"/>
              </w:rPr>
              <w:t>生态环境保护要求：加强水库湿地的建设与保护，调整产业结构，加强尧帝陵的保护和开发。</w:t>
            </w:r>
          </w:p>
          <w:p>
            <w:pPr>
              <w:ind w:firstLine="480"/>
            </w:pPr>
            <w:r>
              <w:rPr>
                <w:rFonts w:hint="eastAsia"/>
              </w:rPr>
              <w:t>限制方向：限制陡坡种植和旅游业发展对生态环境的破坏。</w:t>
            </w:r>
          </w:p>
          <w:p>
            <w:pPr>
              <w:ind w:firstLine="480"/>
            </w:pPr>
            <w:r>
              <w:rPr>
                <w:rFonts w:hint="eastAsia"/>
              </w:rPr>
              <w:t>发展方向：鼓励发展沼气、太阳能等清洁能源。</w:t>
            </w:r>
          </w:p>
          <w:p>
            <w:pPr>
              <w:ind w:firstLine="480"/>
            </w:pPr>
            <w:r>
              <w:rPr>
                <w:rFonts w:hint="eastAsia"/>
              </w:rPr>
              <w:t>本项目在大阳高端装备制造产业园内建设，西南距洰河水库2.6km，东北距涝河水库7.4km。项目运营期，在采取环评提出的措施后，污染物均合理处置，对水库影响较小。因此，本项目的建设不违背该单元发展方向。</w:t>
            </w:r>
          </w:p>
          <w:p>
            <w:pPr>
              <w:ind w:firstLine="482"/>
              <w:rPr>
                <w:b/>
                <w:bCs/>
              </w:rPr>
            </w:pPr>
            <w:r>
              <w:rPr>
                <w:rFonts w:hint="eastAsia"/>
                <w:b/>
                <w:bCs/>
              </w:rPr>
              <w:t>1.10项目与《山西省人民政府关于坚决打赢汾河流域治理攻坚战的决定》（山西省人民政府令第262号）的符合性分析</w:t>
            </w:r>
          </w:p>
          <w:p>
            <w:pPr>
              <w:ind w:firstLine="480"/>
            </w:pPr>
            <w:r>
              <w:rPr>
                <w:rFonts w:hint="eastAsia"/>
              </w:rPr>
              <w:t>根据《</w:t>
            </w:r>
            <w:bookmarkStart w:id="4" w:name="OLE_LINK1"/>
            <w:r>
              <w:rPr>
                <w:rFonts w:hint="eastAsia"/>
              </w:rPr>
              <w:t>山西省人民政府关于坚决打赢汾河流域治理攻坚战的决定</w:t>
            </w:r>
            <w:bookmarkEnd w:id="4"/>
            <w:r>
              <w:rPr>
                <w:rFonts w:hint="eastAsia"/>
              </w:rPr>
              <w:t>》（山西省人民政府令第262号）中第十一条“在汾河干流河道水岸线以外原则上不小于一百米、支流原则上不小于五十米，划定生态功能保护线，建设缓冲隔离防护林带和水源涵养林带，改变农防段种植结构，提高汾河流域河流自净能力。”</w:t>
            </w:r>
          </w:p>
          <w:p>
            <w:pPr>
              <w:ind w:firstLine="480"/>
            </w:pPr>
            <w:r>
              <w:rPr>
                <w:rFonts w:hint="eastAsia"/>
              </w:rPr>
              <w:t>本项目西距汾河1400m＞100m，南距洰河2100m＞50m，北距涝河1900m＞50m符合《山西省人民政府关于坚决打赢汾河流域治理攻坚战的决定》（山西省人民政府令第262号）。</w:t>
            </w:r>
          </w:p>
          <w:p>
            <w:pPr>
              <w:ind w:left="480" w:firstLine="0" w:firstLineChars="0"/>
              <w:rPr>
                <w:b/>
                <w:bCs/>
              </w:rPr>
            </w:pPr>
            <w:r>
              <w:rPr>
                <w:rFonts w:hint="eastAsia"/>
                <w:b/>
                <w:bCs/>
              </w:rPr>
              <w:t>1.11项目与《废钢铁产业“十四五”发展规划》的符合性分析</w:t>
            </w:r>
          </w:p>
          <w:p>
            <w:pPr>
              <w:ind w:firstLine="480"/>
            </w:pPr>
            <w:r>
              <w:rPr>
                <w:rFonts w:hint="eastAsia"/>
              </w:rPr>
              <w:t>2021年9月15日，中国废钢铁应用协会七届一次委员大会审议通过《废钢铁产业“十四五”发展规划》，涉及本项目摘要如下：</w:t>
            </w:r>
          </w:p>
          <w:p>
            <w:pPr>
              <w:ind w:firstLine="482"/>
            </w:pPr>
            <w:r>
              <w:rPr>
                <w:b/>
                <w:bCs/>
              </w:rPr>
              <w:t>主要目标</w:t>
            </w:r>
            <w:r>
              <w:rPr>
                <w:rFonts w:hint="eastAsia"/>
                <w:b/>
                <w:bCs/>
              </w:rPr>
              <w:t>：</w:t>
            </w:r>
            <w:r>
              <w:t>①到</w:t>
            </w:r>
            <w:r>
              <w:rPr>
                <w:rFonts w:hint="eastAsia"/>
              </w:rPr>
              <w:t>“</w:t>
            </w:r>
            <w:r>
              <w:t>十四五</w:t>
            </w:r>
            <w:r>
              <w:rPr>
                <w:rFonts w:hint="eastAsia"/>
              </w:rPr>
              <w:t>”</w:t>
            </w:r>
            <w:r>
              <w:t>末全国炼钢综合废钢比达到30%</w:t>
            </w:r>
            <w:r>
              <w:rPr>
                <w:rFonts w:hint="eastAsia"/>
              </w:rPr>
              <w:t>；</w:t>
            </w:r>
            <w:r>
              <w:t>②废钢铁加工准入企业年加工能力达到2亿吨</w:t>
            </w:r>
            <w:r>
              <w:rPr>
                <w:rFonts w:hint="eastAsia"/>
              </w:rPr>
              <w:t>；</w:t>
            </w:r>
            <w:r>
              <w:t>③做好《炼钢铁素炉料</w:t>
            </w:r>
            <w:r>
              <w:rPr>
                <w:rFonts w:hint="eastAsia"/>
              </w:rPr>
              <w:t>（</w:t>
            </w:r>
            <w:r>
              <w:t>废钢铁</w:t>
            </w:r>
            <w:r>
              <w:rPr>
                <w:rFonts w:hint="eastAsia"/>
              </w:rPr>
              <w:t>）</w:t>
            </w:r>
            <w:r>
              <w:t>加工利用技术条件》行业标准和《再生钢铁原料》国家标准的宣贯工作</w:t>
            </w:r>
            <w:r>
              <w:rPr>
                <w:rFonts w:hint="eastAsia"/>
              </w:rPr>
              <w:t>；</w:t>
            </w:r>
            <w:r>
              <w:t>制订废钢铁加工设备节能、环保及质量标准，推动产业升级</w:t>
            </w:r>
            <w:r>
              <w:rPr>
                <w:rFonts w:hint="eastAsia"/>
              </w:rPr>
              <w:t>；</w:t>
            </w:r>
            <w:r>
              <w:t>④研究和设计开发废钢铁价格指数，指导现货市场定价</w:t>
            </w:r>
            <w:r>
              <w:rPr>
                <w:rFonts w:hint="eastAsia"/>
              </w:rPr>
              <w:t>；</w:t>
            </w:r>
            <w:r>
              <w:t>⑤推进废钢铁智能检测系统的研发与应用</w:t>
            </w:r>
            <w:r>
              <w:rPr>
                <w:rFonts w:hint="eastAsia"/>
              </w:rPr>
              <w:t>；</w:t>
            </w:r>
            <w:r>
              <w:t>⑥逐步实现冶金渣零排放。</w:t>
            </w:r>
          </w:p>
          <w:p>
            <w:pPr>
              <w:ind w:firstLine="482"/>
            </w:pPr>
            <w:r>
              <w:rPr>
                <w:b/>
                <w:bCs/>
              </w:rPr>
              <w:t>重点工程和项目</w:t>
            </w:r>
            <w:r>
              <w:rPr>
                <w:rFonts w:hint="eastAsia"/>
                <w:b/>
                <w:bCs/>
              </w:rPr>
              <w:t>：</w:t>
            </w:r>
            <w:r>
              <w:t>①废钢铁加工配送示范工程</w:t>
            </w:r>
            <w:r>
              <w:rPr>
                <w:rFonts w:hint="eastAsia"/>
              </w:rPr>
              <w:t>；</w:t>
            </w:r>
            <w:r>
              <w:t>②运用互联网+建立全方位废钢铁产业管理平台项目</w:t>
            </w:r>
            <w:r>
              <w:rPr>
                <w:rFonts w:hint="eastAsia"/>
              </w:rPr>
              <w:t>；</w:t>
            </w:r>
            <w:r>
              <w:t>③区块链+废钢场地运营管理系统项目</w:t>
            </w:r>
            <w:r>
              <w:rPr>
                <w:rFonts w:hint="eastAsia"/>
              </w:rPr>
              <w:t>；</w:t>
            </w:r>
            <w:r>
              <w:t>④废钢智能化自动检验系统</w:t>
            </w:r>
            <w:r>
              <w:rPr>
                <w:rFonts w:hint="eastAsia"/>
              </w:rPr>
              <w:t>；</w:t>
            </w:r>
            <w:r>
              <w:t>⑤废钢破碎线尾料深度处理、高值化利用项目</w:t>
            </w:r>
            <w:r>
              <w:rPr>
                <w:rFonts w:hint="eastAsia"/>
              </w:rPr>
              <w:t>；</w:t>
            </w:r>
            <w:r>
              <w:t>⑥报废汽车拆解与废钢加工产品化示范工程</w:t>
            </w:r>
            <w:r>
              <w:rPr>
                <w:rFonts w:hint="eastAsia"/>
              </w:rPr>
              <w:t>；⑦</w:t>
            </w:r>
            <w:r>
              <w:t>废合金钢按合金成分分类加工配送示范项目</w:t>
            </w:r>
            <w:r>
              <w:rPr>
                <w:rFonts w:hint="eastAsia"/>
              </w:rPr>
              <w:t>；⑧</w:t>
            </w:r>
            <w:r>
              <w:t>废钢加工装备节能、环保、性能标准研究项目</w:t>
            </w:r>
            <w:r>
              <w:rPr>
                <w:rFonts w:hint="eastAsia"/>
              </w:rPr>
              <w:t>；⑨“</w:t>
            </w:r>
            <w:r>
              <w:t>钢铁渣零排放</w:t>
            </w:r>
            <w:r>
              <w:rPr>
                <w:rFonts w:hint="eastAsia"/>
              </w:rPr>
              <w:t>”</w:t>
            </w:r>
            <w:r>
              <w:t>示范项目</w:t>
            </w:r>
            <w:r>
              <w:rPr>
                <w:rFonts w:hint="eastAsia"/>
              </w:rPr>
              <w:t>；⑩</w:t>
            </w:r>
            <w:r>
              <w:t>研发和推广钢渣微粉替代水泥成为生产</w:t>
            </w:r>
            <w:r>
              <w:rPr>
                <w:rFonts w:hint="eastAsia"/>
              </w:rPr>
              <w:t>“</w:t>
            </w:r>
            <w:r>
              <w:t>十壤固化剂</w:t>
            </w:r>
            <w:r>
              <w:rPr>
                <w:rFonts w:hint="eastAsia"/>
              </w:rPr>
              <w:t>”</w:t>
            </w:r>
            <w:r>
              <w:t>的主要原料。</w:t>
            </w:r>
          </w:p>
          <w:p>
            <w:pPr>
              <w:widowControl/>
              <w:ind w:firstLine="480"/>
              <w:jc w:val="left"/>
            </w:pPr>
            <w:r>
              <w:rPr>
                <w:rFonts w:hint="eastAsia" w:ascii="宋体" w:hAnsi="宋体" w:cs="宋体"/>
                <w:kern w:val="0"/>
                <w:szCs w:val="24"/>
                <w:lang w:bidi="ar"/>
              </w:rPr>
              <w:t>本项目属于废钢按合金成分分类加工配送项目，本项目的建设与《废钢铁产业</w:t>
            </w:r>
            <w:r>
              <w:rPr>
                <w:rFonts w:hint="eastAsia" w:cs="Times New Roman"/>
                <w:kern w:val="0"/>
                <w:szCs w:val="24"/>
                <w:lang w:bidi="ar"/>
              </w:rPr>
              <w:t>“</w:t>
            </w:r>
            <w:r>
              <w:rPr>
                <w:rFonts w:hint="eastAsia" w:ascii="宋体" w:hAnsi="宋体" w:cs="宋体"/>
                <w:kern w:val="0"/>
                <w:szCs w:val="24"/>
                <w:lang w:bidi="ar"/>
              </w:rPr>
              <w:t>十四五</w:t>
            </w:r>
            <w:r>
              <w:rPr>
                <w:rFonts w:hint="eastAsia" w:cs="Times New Roman"/>
                <w:kern w:val="0"/>
                <w:szCs w:val="24"/>
                <w:lang w:bidi="ar"/>
              </w:rPr>
              <w:t>”</w:t>
            </w:r>
            <w:r>
              <w:rPr>
                <w:rFonts w:hint="eastAsia" w:ascii="宋体" w:hAnsi="宋体" w:cs="宋体"/>
                <w:kern w:val="0"/>
                <w:szCs w:val="24"/>
                <w:lang w:bidi="ar"/>
              </w:rPr>
              <w:t>发展规划》相符。</w:t>
            </w:r>
          </w:p>
          <w:p>
            <w:pPr>
              <w:ind w:left="480" w:leftChars="200" w:firstLine="0" w:firstLineChars="0"/>
            </w:pPr>
            <w:r>
              <w:rPr>
                <w:rFonts w:hint="eastAsia"/>
                <w:b/>
                <w:bCs/>
              </w:rPr>
              <w:t>1.12项目</w:t>
            </w:r>
            <w:r>
              <w:rPr>
                <w:b/>
                <w:bCs/>
              </w:rPr>
              <w:t>与《关于加快推进再生资源产业发展的指导意见》</w:t>
            </w:r>
            <w:r>
              <w:rPr>
                <w:rFonts w:hint="eastAsia"/>
                <w:b/>
                <w:bCs/>
              </w:rPr>
              <w:t>的符合性分析</w:t>
            </w:r>
          </w:p>
          <w:p>
            <w:pPr>
              <w:ind w:firstLine="480"/>
            </w:pPr>
            <w:r>
              <w:t>《关于加快推进再生资源产业发展的指导意见》（工信部联节[2016]440号）指出废钢铁领域应结合各地区钢铁产能和废钢资源量，合理规划废钢加工配送企业布局，保障区域市场稳定和资源供应。继续加强废钢铁加工行业规范管理，健全废钢铁产品标准体系，推动完善废钢利用产业政策和税收政策，促进钢铁企业多用废钢。鼓励废钢铁供给企业与钢铁利用企业深度合作，促进废钢铁</w:t>
            </w:r>
            <w:r>
              <w:rPr>
                <w:rFonts w:hint="eastAsia"/>
              </w:rPr>
              <w:t>“</w:t>
            </w:r>
            <w:r>
              <w:t>回收一加工一利用</w:t>
            </w:r>
            <w:r>
              <w:rPr>
                <w:rFonts w:hint="eastAsia"/>
              </w:rPr>
              <w:t>”</w:t>
            </w:r>
            <w:r>
              <w:t>产业链有效链接，形成可推广的产业创新模式。到</w:t>
            </w:r>
            <w:r>
              <w:rPr>
                <w:rFonts w:hint="eastAsia"/>
              </w:rPr>
              <w:t>2020</w:t>
            </w:r>
            <w:r>
              <w:t>年，引导废钢铁加工企业规范发展，废钢铁消耗量达到</w:t>
            </w:r>
            <w:r>
              <w:rPr>
                <w:rFonts w:hint="eastAsia"/>
              </w:rPr>
              <w:t>1.5</w:t>
            </w:r>
            <w:r>
              <w:t>亿吨。</w:t>
            </w:r>
          </w:p>
          <w:p>
            <w:pPr>
              <w:ind w:firstLine="480"/>
            </w:pPr>
            <w:r>
              <w:t>本项目属于废</w:t>
            </w:r>
            <w:r>
              <w:rPr>
                <w:rFonts w:hint="eastAsia"/>
              </w:rPr>
              <w:t>金属回收加工项目，其成品外售盛泰源生产铸件。同盛源与盛泰源形成废钢“</w:t>
            </w:r>
            <w:r>
              <w:t>回收一加工一利用</w:t>
            </w:r>
            <w:r>
              <w:rPr>
                <w:rFonts w:hint="eastAsia"/>
              </w:rPr>
              <w:t>”产业链，符合</w:t>
            </w:r>
            <w:r>
              <w:t>《关于加快推进再生资源产业发展的指导意见》（工信部联节[2016]440号）。</w:t>
            </w:r>
          </w:p>
          <w:p>
            <w:pPr>
              <w:ind w:left="480" w:leftChars="200" w:firstLine="0" w:firstLineChars="0"/>
              <w:rPr>
                <w:b/>
                <w:bCs/>
              </w:rPr>
            </w:pPr>
            <w:r>
              <w:rPr>
                <w:rFonts w:hint="eastAsia"/>
                <w:b/>
                <w:bCs/>
              </w:rPr>
              <w:t>1.12项目与行业准入条件的符合性分析</w:t>
            </w:r>
          </w:p>
          <w:p>
            <w:pPr>
              <w:widowControl/>
              <w:ind w:firstLine="480"/>
              <w:jc w:val="left"/>
              <w:rPr>
                <w:rFonts w:ascii="宋体" w:hAnsi="宋体" w:cs="宋体"/>
                <w:kern w:val="0"/>
                <w:szCs w:val="24"/>
                <w:lang w:bidi="ar"/>
              </w:rPr>
            </w:pPr>
            <w:r>
              <w:rPr>
                <w:rFonts w:hint="eastAsia" w:ascii="宋体" w:hAnsi="宋体" w:cs="宋体"/>
                <w:kern w:val="0"/>
                <w:szCs w:val="24"/>
                <w:lang w:bidi="ar"/>
              </w:rPr>
              <w:t>《废钢铁加工行业准入条件》（</w:t>
            </w:r>
            <w:r>
              <w:rPr>
                <w:rFonts w:cs="Times New Roman"/>
                <w:kern w:val="0"/>
                <w:szCs w:val="24"/>
                <w:lang w:bidi="ar"/>
              </w:rPr>
              <w:t>2016</w:t>
            </w:r>
            <w:r>
              <w:rPr>
                <w:rFonts w:hint="eastAsia" w:ascii="宋体" w:hAnsi="宋体" w:cs="宋体"/>
                <w:kern w:val="0"/>
                <w:szCs w:val="24"/>
                <w:lang w:bidi="ar"/>
              </w:rPr>
              <w:t>年</w:t>
            </w:r>
            <w:r>
              <w:rPr>
                <w:rFonts w:cs="Times New Roman"/>
                <w:kern w:val="0"/>
                <w:szCs w:val="24"/>
                <w:lang w:bidi="ar"/>
              </w:rPr>
              <w:t>12</w:t>
            </w:r>
            <w:r>
              <w:rPr>
                <w:rFonts w:hint="eastAsia" w:ascii="宋体" w:hAnsi="宋体" w:cs="宋体"/>
                <w:kern w:val="0"/>
                <w:szCs w:val="24"/>
                <w:lang w:bidi="ar"/>
              </w:rPr>
              <w:t>月</w:t>
            </w:r>
            <w:r>
              <w:rPr>
                <w:rFonts w:cs="Times New Roman"/>
                <w:kern w:val="0"/>
                <w:szCs w:val="24"/>
                <w:lang w:bidi="ar"/>
              </w:rPr>
              <w:t>31</w:t>
            </w:r>
            <w:r>
              <w:rPr>
                <w:rFonts w:hint="eastAsia" w:ascii="宋体" w:hAnsi="宋体" w:cs="宋体"/>
                <w:kern w:val="0"/>
                <w:szCs w:val="24"/>
                <w:lang w:bidi="ar"/>
              </w:rPr>
              <w:t>日起实施）对废钢铁加工提出了行业准入要求，项目的建设符合性与其对照，详见表</w:t>
            </w:r>
            <w:r>
              <w:rPr>
                <w:rFonts w:hint="eastAsia" w:cs="Times New Roman"/>
                <w:kern w:val="0"/>
                <w:szCs w:val="24"/>
                <w:lang w:bidi="ar"/>
              </w:rPr>
              <w:t>1-7</w:t>
            </w:r>
            <w:r>
              <w:rPr>
                <w:rFonts w:hint="eastAsia" w:ascii="宋体" w:hAnsi="宋体" w:cs="宋体"/>
                <w:kern w:val="0"/>
                <w:szCs w:val="24"/>
                <w:lang w:bidi="ar"/>
              </w:rPr>
              <w:t>。</w:t>
            </w:r>
          </w:p>
          <w:p>
            <w:pPr>
              <w:pStyle w:val="2"/>
              <w:spacing w:line="240" w:lineRule="auto"/>
              <w:ind w:firstLine="0" w:firstLineChars="0"/>
              <w:jc w:val="center"/>
              <w:rPr>
                <w:b/>
                <w:bCs/>
                <w:sz w:val="21"/>
              </w:rPr>
            </w:pPr>
            <w:r>
              <w:rPr>
                <w:rFonts w:hint="eastAsia" w:cs="宋体"/>
                <w:b/>
                <w:bCs/>
                <w:kern w:val="0"/>
                <w:sz w:val="21"/>
                <w:lang w:bidi="ar"/>
              </w:rPr>
              <w:t>表1-7  本项目与废钢铁加工行业准入条件符合性分析</w:t>
            </w:r>
          </w:p>
          <w:tbl>
            <w:tblPr>
              <w:tblStyle w:val="35"/>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7"/>
              <w:gridCol w:w="3518"/>
              <w:gridCol w:w="2921"/>
              <w:gridCol w:w="8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分类</w:t>
                  </w:r>
                </w:p>
              </w:tc>
              <w:tc>
                <w:tcPr>
                  <w:tcW w:w="3507"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准入条件</w:t>
                  </w:r>
                </w:p>
              </w:tc>
              <w:tc>
                <w:tcPr>
                  <w:tcW w:w="2912"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项目建设情况</w:t>
                  </w:r>
                </w:p>
              </w:tc>
              <w:tc>
                <w:tcPr>
                  <w:tcW w:w="860"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restart"/>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企业的设立和布局</w:t>
                  </w:r>
                </w:p>
              </w:tc>
              <w:tc>
                <w:tcPr>
                  <w:tcW w:w="3507" w:type="dxa"/>
                  <w:tcBorders>
                    <w:top w:val="single" w:color="auto" w:sz="12" w:space="0"/>
                    <w:tl2br w:val="nil"/>
                    <w:tr2bl w:val="nil"/>
                  </w:tcBorders>
                  <w:vAlign w:val="center"/>
                </w:tcPr>
                <w:p>
                  <w:pPr>
                    <w:spacing w:line="240" w:lineRule="auto"/>
                    <w:ind w:firstLine="0" w:firstLineChars="0"/>
                    <w:rPr>
                      <w:sz w:val="21"/>
                    </w:rPr>
                  </w:pPr>
                  <w:r>
                    <w:rPr>
                      <w:sz w:val="21"/>
                    </w:rPr>
                    <w:t>1</w:t>
                  </w:r>
                  <w:r>
                    <w:rPr>
                      <w:rFonts w:hint="eastAsia"/>
                      <w:sz w:val="21"/>
                    </w:rPr>
                    <w:t>、</w:t>
                  </w:r>
                  <w:r>
                    <w:rPr>
                      <w:sz w:val="21"/>
                    </w:rPr>
                    <w:t>废钢铁加工配送企业应符合有关法律法规规定，符合国家产业政策、土地供应政策及本地区土地利用总体规划、城乡建设规划和主体功能区规划的要求，企业建设应有规范化设计要求</w:t>
                  </w:r>
                  <w:r>
                    <w:rPr>
                      <w:rFonts w:hint="eastAsia"/>
                      <w:sz w:val="21"/>
                    </w:rPr>
                    <w:t>。</w:t>
                  </w:r>
                </w:p>
              </w:tc>
              <w:tc>
                <w:tcPr>
                  <w:tcW w:w="2912" w:type="dxa"/>
                  <w:tcBorders>
                    <w:top w:val="single" w:color="auto" w:sz="12" w:space="0"/>
                    <w:tl2br w:val="nil"/>
                    <w:tr2bl w:val="nil"/>
                  </w:tcBorders>
                  <w:vAlign w:val="center"/>
                </w:tcPr>
                <w:p>
                  <w:pPr>
                    <w:spacing w:line="240" w:lineRule="auto"/>
                    <w:ind w:firstLine="0" w:firstLineChars="0"/>
                    <w:rPr>
                      <w:sz w:val="21"/>
                    </w:rPr>
                  </w:pPr>
                  <w:r>
                    <w:rPr>
                      <w:rFonts w:hint="eastAsia"/>
                      <w:sz w:val="21"/>
                    </w:rPr>
                    <w:t>本</w:t>
                  </w:r>
                  <w:r>
                    <w:rPr>
                      <w:sz w:val="21"/>
                    </w:rPr>
                    <w:t>项目用地</w:t>
                  </w:r>
                  <w:r>
                    <w:rPr>
                      <w:rFonts w:hint="eastAsia"/>
                      <w:sz w:val="21"/>
                    </w:rPr>
                    <w:t>性质</w:t>
                  </w:r>
                  <w:r>
                    <w:rPr>
                      <w:sz w:val="21"/>
                    </w:rPr>
                    <w:t>属于工业用地，符合用地规划和国家产业政策要求，企业建设有规范化设计要求。</w:t>
                  </w:r>
                </w:p>
              </w:tc>
              <w:tc>
                <w:tcPr>
                  <w:tcW w:w="860" w:type="dxa"/>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2</w:t>
                  </w:r>
                  <w:r>
                    <w:rPr>
                      <w:rFonts w:hint="eastAsia"/>
                      <w:sz w:val="21"/>
                    </w:rPr>
                    <w:t>、</w:t>
                  </w:r>
                  <w:r>
                    <w:rPr>
                      <w:sz w:val="21"/>
                    </w:rPr>
                    <w:t>建设废钢铁加工配送项目，应根据环境影响评价结论，确定厂址及其与周围人群和敏感区域的距离。在国家法律、法规、规章和规划确定或县级及以上人民政府规定的自然保护区、风景名胜区、饮用水源保护区、基本农田保护区和其他需要特别保护的区域内，不得新建废钢铁加工配送企业。已在上述区域投产运营的废钢铁加工配送企业要根据该区域规划要求，在一定期限内，通过依法搬迁、转产等方式逐步退出。</w:t>
                  </w:r>
                </w:p>
              </w:tc>
              <w:tc>
                <w:tcPr>
                  <w:tcW w:w="2912" w:type="dxa"/>
                  <w:tcBorders>
                    <w:tl2br w:val="nil"/>
                    <w:tr2bl w:val="nil"/>
                  </w:tcBorders>
                  <w:vAlign w:val="center"/>
                </w:tcPr>
                <w:p>
                  <w:pPr>
                    <w:spacing w:line="240" w:lineRule="auto"/>
                    <w:ind w:firstLine="0" w:firstLineChars="0"/>
                    <w:rPr>
                      <w:sz w:val="21"/>
                    </w:rPr>
                  </w:pPr>
                  <w:r>
                    <w:rPr>
                      <w:sz w:val="21"/>
                    </w:rPr>
                    <w:t>本项目为新建</w:t>
                  </w:r>
                  <w:r>
                    <w:rPr>
                      <w:rFonts w:hint="eastAsia"/>
                      <w:sz w:val="21"/>
                    </w:rPr>
                    <w:t>废金属回收加工</w:t>
                  </w:r>
                  <w:r>
                    <w:rPr>
                      <w:sz w:val="21"/>
                    </w:rPr>
                    <w:t>项目，不在国家法律、法规、规章和规划确定或县级及以上人民政府规定的自然保护区、风景名胜区、饮用水源保护区、基本农田保护区和其他需要特别保护的区域内。</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3</w:t>
                  </w:r>
                  <w:r>
                    <w:rPr>
                      <w:rFonts w:hint="eastAsia"/>
                      <w:sz w:val="21"/>
                    </w:rPr>
                    <w:t>、</w:t>
                  </w:r>
                  <w:r>
                    <w:rPr>
                      <w:sz w:val="21"/>
                    </w:rPr>
                    <w:t>废钢铁加工配送企业应符合国家土地管理的相关政策和规定，应符合国家和本地区土地供应政策，以及禁止和限制用地项目目录、工业项目建设用地控制指标等相关土地使用标准的规定。</w:t>
                  </w:r>
                </w:p>
              </w:tc>
              <w:tc>
                <w:tcPr>
                  <w:tcW w:w="2912" w:type="dxa"/>
                  <w:tcBorders>
                    <w:tl2br w:val="nil"/>
                    <w:tr2bl w:val="nil"/>
                  </w:tcBorders>
                  <w:vAlign w:val="center"/>
                </w:tcPr>
                <w:p>
                  <w:pPr>
                    <w:spacing w:line="240" w:lineRule="auto"/>
                    <w:ind w:firstLine="0" w:firstLineChars="0"/>
                    <w:rPr>
                      <w:sz w:val="21"/>
                    </w:rPr>
                  </w:pPr>
                  <w:r>
                    <w:rPr>
                      <w:sz w:val="21"/>
                    </w:rPr>
                    <w:t>本项目租用盛泰源</w:t>
                  </w:r>
                  <w:r>
                    <w:rPr>
                      <w:rFonts w:hint="eastAsia"/>
                      <w:sz w:val="21"/>
                    </w:rPr>
                    <w:t>50亩场地</w:t>
                  </w:r>
                  <w:r>
                    <w:rPr>
                      <w:sz w:val="21"/>
                    </w:rPr>
                    <w:t>，</w:t>
                  </w:r>
                  <w:r>
                    <w:rPr>
                      <w:rFonts w:hint="eastAsia"/>
                      <w:sz w:val="21"/>
                    </w:rPr>
                    <w:t>占地性质</w:t>
                  </w:r>
                  <w:r>
                    <w:rPr>
                      <w:sz w:val="21"/>
                    </w:rPr>
                    <w:t>为工业用地，对照《限制用地项目目录》（2012年本）和《禁止用地项目目录》（2012年本），本项目</w:t>
                  </w:r>
                  <w:r>
                    <w:rPr>
                      <w:rFonts w:hint="eastAsia"/>
                      <w:sz w:val="21"/>
                    </w:rPr>
                    <w:t>属于“鼓励类”</w:t>
                  </w:r>
                  <w:r>
                    <w:rPr>
                      <w:sz w:val="21"/>
                    </w:rPr>
                    <w:t>。</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restart"/>
                  <w:tcBorders>
                    <w:tl2br w:val="nil"/>
                    <w:tr2bl w:val="nil"/>
                  </w:tcBorders>
                  <w:vAlign w:val="center"/>
                </w:tcPr>
                <w:p>
                  <w:pPr>
                    <w:spacing w:line="240" w:lineRule="auto"/>
                    <w:ind w:firstLine="0" w:firstLineChars="0"/>
                    <w:jc w:val="center"/>
                    <w:rPr>
                      <w:sz w:val="21"/>
                    </w:rPr>
                  </w:pPr>
                  <w:r>
                    <w:rPr>
                      <w:rFonts w:hint="eastAsia"/>
                      <w:sz w:val="21"/>
                    </w:rPr>
                    <w:t>规模工艺和装备</w:t>
                  </w:r>
                </w:p>
              </w:tc>
              <w:tc>
                <w:tcPr>
                  <w:tcW w:w="3507" w:type="dxa"/>
                  <w:tcBorders>
                    <w:tl2br w:val="nil"/>
                    <w:tr2bl w:val="nil"/>
                  </w:tcBorders>
                  <w:vAlign w:val="center"/>
                </w:tcPr>
                <w:p>
                  <w:pPr>
                    <w:spacing w:line="240" w:lineRule="auto"/>
                    <w:ind w:firstLine="0" w:firstLineChars="0"/>
                    <w:rPr>
                      <w:sz w:val="21"/>
                    </w:rPr>
                  </w:pPr>
                  <w:r>
                    <w:rPr>
                      <w:sz w:val="21"/>
                    </w:rPr>
                    <w:t>1</w:t>
                  </w:r>
                  <w:r>
                    <w:rPr>
                      <w:rFonts w:hint="eastAsia"/>
                      <w:sz w:val="21"/>
                    </w:rPr>
                    <w:t>、</w:t>
                  </w:r>
                  <w:r>
                    <w:rPr>
                      <w:sz w:val="21"/>
                    </w:rPr>
                    <w:t>新建普碳废钢铁加工配送企业年废钢铁加工能力必须在</w:t>
                  </w:r>
                  <w:r>
                    <w:rPr>
                      <w:rFonts w:hint="eastAsia"/>
                      <w:sz w:val="21"/>
                    </w:rPr>
                    <w:t>15</w:t>
                  </w:r>
                  <w:r>
                    <w:rPr>
                      <w:sz w:val="21"/>
                    </w:rPr>
                    <w:t>万吨以上；改造、扩建普碳废钢铁加工配送企业年废钢铁加工能力应达到</w:t>
                  </w:r>
                  <w:r>
                    <w:rPr>
                      <w:rFonts w:hint="eastAsia"/>
                      <w:sz w:val="21"/>
                    </w:rPr>
                    <w:t>10</w:t>
                  </w:r>
                  <w:r>
                    <w:rPr>
                      <w:sz w:val="21"/>
                    </w:rPr>
                    <w:t xml:space="preserve">万吨以上；废旧不锈钢及其它废旧特种钢加工配送企业年加工能力应达到 </w:t>
                  </w:r>
                  <w:r>
                    <w:rPr>
                      <w:rFonts w:hint="eastAsia"/>
                      <w:sz w:val="21"/>
                    </w:rPr>
                    <w:t>3</w:t>
                  </w:r>
                  <w:r>
                    <w:rPr>
                      <w:sz w:val="21"/>
                    </w:rPr>
                    <w:t>万吨以上。</w:t>
                  </w:r>
                </w:p>
              </w:tc>
              <w:tc>
                <w:tcPr>
                  <w:tcW w:w="2912" w:type="dxa"/>
                  <w:tcBorders>
                    <w:tl2br w:val="nil"/>
                    <w:tr2bl w:val="nil"/>
                  </w:tcBorders>
                  <w:vAlign w:val="center"/>
                </w:tcPr>
                <w:p>
                  <w:pPr>
                    <w:spacing w:line="240" w:lineRule="auto"/>
                    <w:ind w:firstLine="0" w:firstLineChars="0"/>
                    <w:rPr>
                      <w:sz w:val="21"/>
                    </w:rPr>
                  </w:pPr>
                  <w:r>
                    <w:rPr>
                      <w:sz w:val="21"/>
                    </w:rPr>
                    <w:t>本项目可达到年初加工配送</w:t>
                  </w:r>
                  <w:r>
                    <w:rPr>
                      <w:rFonts w:hint="eastAsia"/>
                      <w:sz w:val="21"/>
                    </w:rPr>
                    <w:t>5</w:t>
                  </w:r>
                  <w:r>
                    <w:rPr>
                      <w:sz w:val="21"/>
                    </w:rPr>
                    <w:t>万吨废旧特种金属的能力，因此本项目符合要求。</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2</w:t>
                  </w:r>
                  <w:r>
                    <w:rPr>
                      <w:rFonts w:hint="eastAsia"/>
                      <w:sz w:val="21"/>
                    </w:rPr>
                    <w:t>、</w:t>
                  </w:r>
                  <w:r>
                    <w:rPr>
                      <w:sz w:val="21"/>
                    </w:rPr>
                    <w:t>新建普碳废钢铁加工配送企业要求厂区面积不小于</w:t>
                  </w:r>
                  <w:r>
                    <w:rPr>
                      <w:rFonts w:hint="eastAsia"/>
                      <w:sz w:val="21"/>
                    </w:rPr>
                    <w:t>3</w:t>
                  </w:r>
                  <w:r>
                    <w:rPr>
                      <w:sz w:val="21"/>
                    </w:rPr>
                    <w:t>万平米，作业场地硬化面积不小于</w:t>
                  </w:r>
                  <w:r>
                    <w:rPr>
                      <w:rFonts w:hint="eastAsia"/>
                      <w:sz w:val="21"/>
                    </w:rPr>
                    <w:t>1.5</w:t>
                  </w:r>
                  <w:r>
                    <w:rPr>
                      <w:sz w:val="21"/>
                    </w:rPr>
                    <w:t>万平米；改造、扩建普碳废钢铁加工配送企业要求厂区面积不小于</w:t>
                  </w:r>
                  <w:r>
                    <w:rPr>
                      <w:rFonts w:hint="eastAsia"/>
                      <w:sz w:val="21"/>
                    </w:rPr>
                    <w:t>2</w:t>
                  </w:r>
                  <w:r>
                    <w:rPr>
                      <w:sz w:val="21"/>
                    </w:rPr>
                    <w:t>万平米，作业场地硬化面积不小于</w:t>
                  </w:r>
                  <w:r>
                    <w:rPr>
                      <w:rFonts w:hint="eastAsia"/>
                      <w:sz w:val="21"/>
                    </w:rPr>
                    <w:t>1</w:t>
                  </w:r>
                  <w:r>
                    <w:rPr>
                      <w:sz w:val="21"/>
                    </w:rPr>
                    <w:t>万平米</w:t>
                  </w:r>
                  <w:r>
                    <w:rPr>
                      <w:rFonts w:hint="eastAsia"/>
                      <w:sz w:val="21"/>
                    </w:rPr>
                    <w:t>；</w:t>
                  </w:r>
                  <w:r>
                    <w:rPr>
                      <w:sz w:val="21"/>
                    </w:rPr>
                    <w:t>废旧不锈钢及其它废旧特种钢加工配送企业厂区面积不小于</w:t>
                  </w:r>
                  <w:r>
                    <w:rPr>
                      <w:rFonts w:hint="eastAsia"/>
                      <w:sz w:val="21"/>
                    </w:rPr>
                    <w:t>1</w:t>
                  </w:r>
                  <w:r>
                    <w:rPr>
                      <w:sz w:val="21"/>
                    </w:rPr>
                    <w:t>万平米，作业场地硬化面积不小于</w:t>
                  </w:r>
                  <w:r>
                    <w:rPr>
                      <w:rFonts w:hint="eastAsia"/>
                      <w:sz w:val="21"/>
                    </w:rPr>
                    <w:t>5</w:t>
                  </w:r>
                  <w:r>
                    <w:rPr>
                      <w:sz w:val="21"/>
                    </w:rPr>
                    <w:t>千平米。土地使用手续合法</w:t>
                  </w:r>
                  <w:r>
                    <w:rPr>
                      <w:rFonts w:hint="eastAsia"/>
                      <w:sz w:val="21"/>
                    </w:rPr>
                    <w:t>（</w:t>
                  </w:r>
                  <w:r>
                    <w:rPr>
                      <w:sz w:val="21"/>
                    </w:rPr>
                    <w:t>若土地为租用，合同期限不少于</w:t>
                  </w:r>
                  <w:r>
                    <w:rPr>
                      <w:rFonts w:hint="eastAsia"/>
                      <w:sz w:val="21"/>
                    </w:rPr>
                    <w:t>15</w:t>
                  </w:r>
                  <w:r>
                    <w:rPr>
                      <w:sz w:val="21"/>
                    </w:rPr>
                    <w:t>年</w:t>
                  </w:r>
                  <w:r>
                    <w:rPr>
                      <w:rFonts w:hint="eastAsia"/>
                      <w:sz w:val="21"/>
                    </w:rPr>
                    <w:t>）</w:t>
                  </w:r>
                  <w:r>
                    <w:rPr>
                      <w:sz w:val="21"/>
                    </w:rPr>
                    <w:t>。</w:t>
                  </w:r>
                </w:p>
              </w:tc>
              <w:tc>
                <w:tcPr>
                  <w:tcW w:w="2912" w:type="dxa"/>
                  <w:tcBorders>
                    <w:tl2br w:val="nil"/>
                    <w:tr2bl w:val="nil"/>
                  </w:tcBorders>
                  <w:vAlign w:val="center"/>
                </w:tcPr>
                <w:p>
                  <w:pPr>
                    <w:spacing w:line="240" w:lineRule="auto"/>
                    <w:ind w:firstLine="0" w:firstLineChars="0"/>
                    <w:rPr>
                      <w:sz w:val="21"/>
                    </w:rPr>
                  </w:pPr>
                  <w:r>
                    <w:rPr>
                      <w:sz w:val="21"/>
                    </w:rPr>
                    <w:t>本项目</w:t>
                  </w:r>
                  <w:r>
                    <w:rPr>
                      <w:rFonts w:hint="eastAsia"/>
                      <w:sz w:val="21"/>
                    </w:rPr>
                    <w:t>为废旧特种金属，其厂区面积5</w:t>
                  </w:r>
                  <w:r>
                    <w:rPr>
                      <w:sz w:val="21"/>
                    </w:rPr>
                    <w:t>0</w:t>
                  </w:r>
                  <w:r>
                    <w:rPr>
                      <w:rFonts w:hint="eastAsia"/>
                      <w:sz w:val="21"/>
                    </w:rPr>
                    <w:t>亩（33333.3</w:t>
                  </w:r>
                  <w:r>
                    <w:rPr>
                      <w:sz w:val="21"/>
                    </w:rPr>
                    <w:t>平方米</w:t>
                  </w:r>
                  <w:r>
                    <w:rPr>
                      <w:rFonts w:hint="eastAsia"/>
                      <w:sz w:val="21"/>
                    </w:rPr>
                    <w:t>），</w:t>
                  </w:r>
                  <w:r>
                    <w:rPr>
                      <w:sz w:val="21"/>
                    </w:rPr>
                    <w:t>作业场地硬化面</w:t>
                  </w:r>
                  <w:r>
                    <w:rPr>
                      <w:rFonts w:hint="eastAsia"/>
                      <w:sz w:val="21"/>
                    </w:rPr>
                    <w:t>积8350</w:t>
                  </w:r>
                  <w:r>
                    <w:rPr>
                      <w:sz w:val="21"/>
                    </w:rPr>
                    <w:t>平方米，土地使用手续合法</w:t>
                  </w:r>
                  <w:r>
                    <w:rPr>
                      <w:rFonts w:hint="eastAsia"/>
                      <w:sz w:val="21"/>
                    </w:rPr>
                    <w:t>，土地</w:t>
                  </w:r>
                  <w:r>
                    <w:rPr>
                      <w:sz w:val="21"/>
                    </w:rPr>
                    <w:t>合同期限</w:t>
                  </w:r>
                  <w:r>
                    <w:rPr>
                      <w:rFonts w:hint="eastAsia"/>
                      <w:sz w:val="21"/>
                    </w:rPr>
                    <w:t>30</w:t>
                  </w:r>
                  <w:r>
                    <w:rPr>
                      <w:sz w:val="21"/>
                    </w:rPr>
                    <w:t>年</w:t>
                  </w:r>
                  <w:r>
                    <w:rPr>
                      <w:rFonts w:hint="eastAsia"/>
                      <w:sz w:val="21"/>
                    </w:rPr>
                    <w:t>。</w:t>
                  </w:r>
                </w:p>
                <w:p>
                  <w:pPr>
                    <w:spacing w:line="240" w:lineRule="auto"/>
                    <w:ind w:firstLine="0" w:firstLineChars="0"/>
                    <w:rPr>
                      <w:sz w:val="21"/>
                    </w:rPr>
                  </w:pP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3</w:t>
                  </w:r>
                  <w:r>
                    <w:rPr>
                      <w:rFonts w:hint="eastAsia"/>
                      <w:sz w:val="21"/>
                    </w:rPr>
                    <w:t>、</w:t>
                  </w:r>
                  <w:r>
                    <w:rPr>
                      <w:sz w:val="21"/>
                    </w:rPr>
                    <w:t>废钢铁加工配送企业应配有打包设备、剪切设备或破碎设备以及配套装卸设备和车辆等，必须配备辐射监测仪器、电子磅和非钢铁类夹杂物分类设备等。</w:t>
                  </w:r>
                </w:p>
              </w:tc>
              <w:tc>
                <w:tcPr>
                  <w:tcW w:w="2912" w:type="dxa"/>
                  <w:tcBorders>
                    <w:tl2br w:val="nil"/>
                    <w:tr2bl w:val="nil"/>
                  </w:tcBorders>
                  <w:vAlign w:val="center"/>
                </w:tcPr>
                <w:p>
                  <w:pPr>
                    <w:spacing w:line="240" w:lineRule="auto"/>
                    <w:ind w:firstLine="0" w:firstLineChars="0"/>
                    <w:rPr>
                      <w:sz w:val="21"/>
                    </w:rPr>
                  </w:pPr>
                  <w:r>
                    <w:rPr>
                      <w:sz w:val="21"/>
                    </w:rPr>
                    <w:t>本项目拟配置打包设备、剪切设备以及配套装卸设备和车辆等符合规定。</w:t>
                  </w:r>
                </w:p>
                <w:p>
                  <w:pPr>
                    <w:spacing w:line="240" w:lineRule="auto"/>
                    <w:ind w:firstLine="0" w:firstLineChars="0"/>
                    <w:rPr>
                      <w:sz w:val="21"/>
                    </w:rPr>
                  </w:pPr>
                  <w:r>
                    <w:rPr>
                      <w:sz w:val="21"/>
                    </w:rPr>
                    <w:t>本项目拟配辐射监测仪器</w:t>
                  </w:r>
                  <w:r>
                    <w:rPr>
                      <w:rFonts w:hint="eastAsia"/>
                      <w:sz w:val="21"/>
                    </w:rPr>
                    <w:t>和</w:t>
                  </w:r>
                  <w:r>
                    <w:rPr>
                      <w:sz w:val="21"/>
                    </w:rPr>
                    <w:t>电子磅等，因此本项目符合规定。</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4</w:t>
                  </w:r>
                  <w:r>
                    <w:rPr>
                      <w:rFonts w:hint="eastAsia"/>
                      <w:sz w:val="21"/>
                    </w:rPr>
                    <w:t>、</w:t>
                  </w:r>
                  <w:r>
                    <w:rPr>
                      <w:sz w:val="21"/>
                    </w:rPr>
                    <w:t>废钢铁加工配送企业应选择生产效率高、加工工艺先进、能耗低、环保达标和资源综合利用率高的加工生产系统。必须配套有粉尘收集、污水处理和噪音控制等环境保护设施，加工工艺和设备应满足国家产业政策、禁止和限制用地项目目录的有关要求。</w:t>
                  </w:r>
                </w:p>
              </w:tc>
              <w:tc>
                <w:tcPr>
                  <w:tcW w:w="2912" w:type="dxa"/>
                  <w:tcBorders>
                    <w:tl2br w:val="nil"/>
                    <w:tr2bl w:val="nil"/>
                  </w:tcBorders>
                  <w:vAlign w:val="center"/>
                </w:tcPr>
                <w:p>
                  <w:pPr>
                    <w:spacing w:line="240" w:lineRule="auto"/>
                    <w:ind w:firstLine="0" w:firstLineChars="0"/>
                    <w:rPr>
                      <w:sz w:val="21"/>
                    </w:rPr>
                  </w:pPr>
                  <w:r>
                    <w:rPr>
                      <w:sz w:val="21"/>
                    </w:rPr>
                    <w:t>本项目</w:t>
                  </w:r>
                  <w:r>
                    <w:rPr>
                      <w:rFonts w:hint="eastAsia"/>
                      <w:sz w:val="21"/>
                    </w:rPr>
                    <w:t>为</w:t>
                  </w:r>
                  <w:r>
                    <w:rPr>
                      <w:sz w:val="21"/>
                    </w:rPr>
                    <w:t>加工生产系统生产效率高、加工工艺先进、能耗低、环保达标和资源综合利用率高的加工生产系统。</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5</w:t>
                  </w:r>
                  <w:r>
                    <w:rPr>
                      <w:rFonts w:hint="eastAsia"/>
                      <w:sz w:val="21"/>
                    </w:rPr>
                    <w:t>、</w:t>
                  </w:r>
                  <w:r>
                    <w:rPr>
                      <w:sz w:val="21"/>
                    </w:rPr>
                    <w:t>鼓励企业积极开发使用节能、环保、高效的新技术、新工艺、新装备，逐步淘汰鳄鱼剪式剪切机。</w:t>
                  </w:r>
                </w:p>
              </w:tc>
              <w:tc>
                <w:tcPr>
                  <w:tcW w:w="2912" w:type="dxa"/>
                  <w:tcBorders>
                    <w:tl2br w:val="nil"/>
                    <w:tr2bl w:val="nil"/>
                  </w:tcBorders>
                  <w:vAlign w:val="center"/>
                </w:tcPr>
                <w:p>
                  <w:pPr>
                    <w:spacing w:line="240" w:lineRule="auto"/>
                    <w:ind w:firstLine="0" w:firstLineChars="0"/>
                    <w:rPr>
                      <w:sz w:val="21"/>
                    </w:rPr>
                  </w:pPr>
                  <w:r>
                    <w:rPr>
                      <w:rFonts w:hint="eastAsia"/>
                      <w:sz w:val="21"/>
                    </w:rPr>
                    <w:t>本项目</w:t>
                  </w:r>
                  <w:r>
                    <w:rPr>
                      <w:sz w:val="21"/>
                    </w:rPr>
                    <w:t>使用节能、环保、高效的</w:t>
                  </w:r>
                  <w:r>
                    <w:rPr>
                      <w:rFonts w:hint="eastAsia"/>
                      <w:sz w:val="21"/>
                    </w:rPr>
                    <w:t>龙</w:t>
                  </w:r>
                  <w:r>
                    <w:rPr>
                      <w:sz w:val="21"/>
                    </w:rPr>
                    <w:t>门式废钢剪切机，不使用鳄鱼剪式剪切机。</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restart"/>
                  <w:tcBorders>
                    <w:tl2br w:val="nil"/>
                    <w:tr2bl w:val="nil"/>
                  </w:tcBorders>
                  <w:vAlign w:val="center"/>
                </w:tcPr>
                <w:p>
                  <w:pPr>
                    <w:spacing w:line="240" w:lineRule="auto"/>
                    <w:ind w:firstLine="0" w:firstLineChars="0"/>
                    <w:jc w:val="center"/>
                    <w:rPr>
                      <w:sz w:val="21"/>
                    </w:rPr>
                  </w:pPr>
                  <w:r>
                    <w:rPr>
                      <w:rFonts w:hint="eastAsia"/>
                      <w:sz w:val="21"/>
                    </w:rPr>
                    <w:t>产品质量</w:t>
                  </w:r>
                </w:p>
              </w:tc>
              <w:tc>
                <w:tcPr>
                  <w:tcW w:w="3507" w:type="dxa"/>
                  <w:tcBorders>
                    <w:tl2br w:val="nil"/>
                    <w:tr2bl w:val="nil"/>
                  </w:tcBorders>
                  <w:vAlign w:val="center"/>
                </w:tcPr>
                <w:p>
                  <w:pPr>
                    <w:spacing w:line="240" w:lineRule="auto"/>
                    <w:ind w:firstLine="0" w:firstLineChars="0"/>
                    <w:rPr>
                      <w:sz w:val="21"/>
                    </w:rPr>
                  </w:pPr>
                  <w:r>
                    <w:rPr>
                      <w:sz w:val="21"/>
                    </w:rPr>
                    <w:t>1</w:t>
                  </w:r>
                  <w:r>
                    <w:rPr>
                      <w:rFonts w:hint="eastAsia"/>
                      <w:sz w:val="21"/>
                    </w:rPr>
                    <w:t>、</w:t>
                  </w:r>
                  <w:r>
                    <w:rPr>
                      <w:sz w:val="21"/>
                    </w:rPr>
                    <w:t>废钢铁加工产品达到废钢铁国家标准和行业标准。不得销售给生产建筑用钢的工频炉、中频炉企业，以及使用</w:t>
                  </w:r>
                  <w:r>
                    <w:rPr>
                      <w:rFonts w:hint="eastAsia"/>
                      <w:sz w:val="21"/>
                    </w:rPr>
                    <w:t>30</w:t>
                  </w:r>
                  <w:r>
                    <w:rPr>
                      <w:sz w:val="21"/>
                    </w:rPr>
                    <w:t>吨及以下电炉</w:t>
                  </w:r>
                  <w:r>
                    <w:rPr>
                      <w:rFonts w:hint="eastAsia"/>
                      <w:sz w:val="21"/>
                    </w:rPr>
                    <w:t>（</w:t>
                  </w:r>
                  <w:r>
                    <w:rPr>
                      <w:sz w:val="21"/>
                    </w:rPr>
                    <w:t>高合金电炉除外)等落后生产设备的企业。</w:t>
                  </w:r>
                </w:p>
              </w:tc>
              <w:tc>
                <w:tcPr>
                  <w:tcW w:w="2912" w:type="dxa"/>
                  <w:tcBorders>
                    <w:tl2br w:val="nil"/>
                    <w:tr2bl w:val="nil"/>
                  </w:tcBorders>
                  <w:vAlign w:val="center"/>
                </w:tcPr>
                <w:p>
                  <w:pPr>
                    <w:spacing w:line="240" w:lineRule="auto"/>
                    <w:ind w:firstLine="0" w:firstLineChars="0"/>
                    <w:rPr>
                      <w:sz w:val="21"/>
                    </w:rPr>
                  </w:pPr>
                  <w:r>
                    <w:rPr>
                      <w:sz w:val="21"/>
                    </w:rPr>
                    <w:t>本项目产品能够达到废钢铁国家标准和行业标准。</w:t>
                  </w:r>
                  <w:r>
                    <w:rPr>
                      <w:rFonts w:hint="eastAsia"/>
                      <w:sz w:val="21"/>
                    </w:rPr>
                    <w:t>企业承诺不销售给生产建筑用钢的工频炉、中频炉企业，以及使用30吨及以下电炉（高合金电炉除外)等落后生产设备的企业。</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2</w:t>
                  </w:r>
                  <w:r>
                    <w:rPr>
                      <w:rFonts w:hint="eastAsia"/>
                      <w:sz w:val="21"/>
                    </w:rPr>
                    <w:t>、</w:t>
                  </w:r>
                  <w:r>
                    <w:rPr>
                      <w:sz w:val="21"/>
                    </w:rPr>
                    <w:t>废钢铁加工配送企业应配备专职质量管理人员，建立质量管理制度。应通过ISO质量管理体系认证。</w:t>
                  </w:r>
                </w:p>
              </w:tc>
              <w:tc>
                <w:tcPr>
                  <w:tcW w:w="2912" w:type="dxa"/>
                  <w:tcBorders>
                    <w:tl2br w:val="nil"/>
                    <w:tr2bl w:val="nil"/>
                  </w:tcBorders>
                  <w:vAlign w:val="center"/>
                </w:tcPr>
                <w:p>
                  <w:pPr>
                    <w:spacing w:line="240" w:lineRule="auto"/>
                    <w:ind w:firstLine="0" w:firstLineChars="0"/>
                    <w:rPr>
                      <w:sz w:val="21"/>
                    </w:rPr>
                  </w:pPr>
                  <w:r>
                    <w:rPr>
                      <w:sz w:val="21"/>
                    </w:rPr>
                    <w:t>本项目配备专职质量管理人员，建立质量管理制度，通过ISO质量管理体系认证。</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restart"/>
                  <w:tcBorders>
                    <w:tl2br w:val="nil"/>
                    <w:tr2bl w:val="nil"/>
                  </w:tcBorders>
                  <w:vAlign w:val="center"/>
                </w:tcPr>
                <w:p>
                  <w:pPr>
                    <w:spacing w:line="240" w:lineRule="auto"/>
                    <w:ind w:firstLine="0" w:firstLineChars="0"/>
                    <w:jc w:val="center"/>
                    <w:rPr>
                      <w:sz w:val="21"/>
                    </w:rPr>
                  </w:pPr>
                  <w:r>
                    <w:rPr>
                      <w:rFonts w:hint="eastAsia"/>
                      <w:sz w:val="21"/>
                    </w:rPr>
                    <w:t>能源消耗和资源综合利用</w:t>
                  </w:r>
                </w:p>
              </w:tc>
              <w:tc>
                <w:tcPr>
                  <w:tcW w:w="3507" w:type="dxa"/>
                  <w:tcBorders>
                    <w:tl2br w:val="nil"/>
                    <w:tr2bl w:val="nil"/>
                  </w:tcBorders>
                  <w:vAlign w:val="center"/>
                </w:tcPr>
                <w:p>
                  <w:pPr>
                    <w:spacing w:line="240" w:lineRule="auto"/>
                    <w:ind w:firstLine="0" w:firstLineChars="0"/>
                    <w:rPr>
                      <w:sz w:val="21"/>
                    </w:rPr>
                  </w:pPr>
                  <w:r>
                    <w:rPr>
                      <w:sz w:val="21"/>
                    </w:rPr>
                    <w:t>1</w:t>
                  </w:r>
                  <w:r>
                    <w:rPr>
                      <w:rFonts w:hint="eastAsia"/>
                      <w:sz w:val="21"/>
                    </w:rPr>
                    <w:t>、</w:t>
                  </w:r>
                  <w:r>
                    <w:rPr>
                      <w:sz w:val="21"/>
                    </w:rPr>
                    <w:t>废钢铁加工配送企业加工生产系统综合电耗应低于</w:t>
                  </w:r>
                  <w:r>
                    <w:rPr>
                      <w:rFonts w:hint="eastAsia"/>
                      <w:sz w:val="21"/>
                    </w:rPr>
                    <w:t>30</w:t>
                  </w:r>
                  <w:r>
                    <w:rPr>
                      <w:sz w:val="21"/>
                    </w:rPr>
                    <w:t>千瓦时/吨废钢铁，新水消耗应低于</w:t>
                  </w:r>
                  <w:r>
                    <w:rPr>
                      <w:rFonts w:hint="eastAsia"/>
                      <w:sz w:val="21"/>
                    </w:rPr>
                    <w:t>0.2</w:t>
                  </w:r>
                  <w:r>
                    <w:rPr>
                      <w:sz w:val="21"/>
                    </w:rPr>
                    <w:t>吨/吨废钢铁。</w:t>
                  </w:r>
                </w:p>
              </w:tc>
              <w:tc>
                <w:tcPr>
                  <w:tcW w:w="2912" w:type="dxa"/>
                  <w:tcBorders>
                    <w:tl2br w:val="nil"/>
                    <w:tr2bl w:val="nil"/>
                  </w:tcBorders>
                  <w:vAlign w:val="center"/>
                </w:tcPr>
                <w:p>
                  <w:pPr>
                    <w:spacing w:line="240" w:lineRule="auto"/>
                    <w:ind w:firstLine="0" w:firstLineChars="0"/>
                    <w:rPr>
                      <w:sz w:val="21"/>
                    </w:rPr>
                  </w:pPr>
                  <w:r>
                    <w:rPr>
                      <w:sz w:val="21"/>
                    </w:rPr>
                    <w:t>本项目</w:t>
                  </w:r>
                  <w:r>
                    <w:rPr>
                      <w:rFonts w:hint="eastAsia"/>
                      <w:sz w:val="21"/>
                    </w:rPr>
                    <w:t>废旧特种金属</w:t>
                  </w:r>
                  <w:r>
                    <w:rPr>
                      <w:sz w:val="21"/>
                    </w:rPr>
                    <w:t>加工配送企业加工生产系统综合电耗为28千瓦时/吨废钢铁，新水消耗主要为员工生活用水</w:t>
                  </w:r>
                  <w:r>
                    <w:rPr>
                      <w:rFonts w:hint="eastAsia"/>
                      <w:sz w:val="21"/>
                    </w:rPr>
                    <w:t>和洗车水</w:t>
                  </w:r>
                  <w:r>
                    <w:rPr>
                      <w:sz w:val="21"/>
                    </w:rPr>
                    <w:t>，无生产用水，满足要求。</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2、对加工废钢铁过程中产生的各种夹杂物，如有色金属、塑料、橡胶、木块、纤维、渣土、机油、汽油、氟利昂、电池等，应有相应的回收、处理措施和合法流向，避免二次污染。</w:t>
                  </w:r>
                </w:p>
              </w:tc>
              <w:tc>
                <w:tcPr>
                  <w:tcW w:w="2912" w:type="dxa"/>
                  <w:tcBorders>
                    <w:tl2br w:val="nil"/>
                    <w:tr2bl w:val="nil"/>
                  </w:tcBorders>
                  <w:vAlign w:val="center"/>
                </w:tcPr>
                <w:p>
                  <w:pPr>
                    <w:spacing w:line="240" w:lineRule="auto"/>
                    <w:ind w:firstLine="0" w:firstLineChars="0"/>
                    <w:rPr>
                      <w:sz w:val="21"/>
                    </w:rPr>
                  </w:pPr>
                  <w:r>
                    <w:rPr>
                      <w:rFonts w:hint="eastAsia"/>
                      <w:sz w:val="21"/>
                    </w:rPr>
                    <w:t>本项目加工的废旧特种金属为销子，为块状，不含夹杂物。</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restart"/>
                  <w:tcBorders>
                    <w:tl2br w:val="nil"/>
                    <w:tr2bl w:val="nil"/>
                  </w:tcBorders>
                  <w:vAlign w:val="center"/>
                </w:tcPr>
                <w:p>
                  <w:pPr>
                    <w:spacing w:line="240" w:lineRule="auto"/>
                    <w:ind w:firstLine="0" w:firstLineChars="0"/>
                    <w:jc w:val="center"/>
                    <w:rPr>
                      <w:sz w:val="21"/>
                    </w:rPr>
                  </w:pPr>
                  <w:r>
                    <w:rPr>
                      <w:rFonts w:hint="eastAsia"/>
                      <w:sz w:val="21"/>
                    </w:rPr>
                    <w:t>环境保护</w:t>
                  </w:r>
                </w:p>
              </w:tc>
              <w:tc>
                <w:tcPr>
                  <w:tcW w:w="3507" w:type="dxa"/>
                  <w:tcBorders>
                    <w:tl2br w:val="nil"/>
                    <w:tr2bl w:val="nil"/>
                  </w:tcBorders>
                  <w:vAlign w:val="center"/>
                </w:tcPr>
                <w:p>
                  <w:pPr>
                    <w:spacing w:line="240" w:lineRule="auto"/>
                    <w:ind w:firstLine="0" w:firstLineChars="0"/>
                    <w:rPr>
                      <w:sz w:val="21"/>
                    </w:rPr>
                  </w:pPr>
                  <w:r>
                    <w:rPr>
                      <w:sz w:val="21"/>
                    </w:rPr>
                    <w:t>1</w:t>
                  </w:r>
                  <w:r>
                    <w:rPr>
                      <w:rFonts w:hint="eastAsia"/>
                      <w:sz w:val="21"/>
                    </w:rPr>
                    <w:t>、</w:t>
                  </w:r>
                  <w:r>
                    <w:rPr>
                      <w:sz w:val="21"/>
                    </w:rPr>
                    <w:t>废钢铁加工配送企业应按照《建设项目环境保护管理条例》，严格执行环境影响评价制度、环境保护</w:t>
                  </w:r>
                  <w:r>
                    <w:rPr>
                      <w:rFonts w:hint="eastAsia"/>
                      <w:sz w:val="21"/>
                    </w:rPr>
                    <w:t>“</w:t>
                  </w:r>
                  <w:r>
                    <w:rPr>
                      <w:sz w:val="21"/>
                    </w:rPr>
                    <w:t>三同时</w:t>
                  </w:r>
                  <w:r>
                    <w:rPr>
                      <w:rFonts w:hint="eastAsia"/>
                      <w:sz w:val="21"/>
                    </w:rPr>
                    <w:t>”</w:t>
                  </w:r>
                  <w:r>
                    <w:rPr>
                      <w:sz w:val="21"/>
                    </w:rPr>
                    <w:t>的要求建设配套的环境保护设施并依法申请项目竣工环境保护验收，经环保部门验收合格后，方可投入生产。</w:t>
                  </w:r>
                </w:p>
              </w:tc>
              <w:tc>
                <w:tcPr>
                  <w:tcW w:w="2912" w:type="dxa"/>
                  <w:tcBorders>
                    <w:tl2br w:val="nil"/>
                    <w:tr2bl w:val="nil"/>
                  </w:tcBorders>
                  <w:vAlign w:val="center"/>
                </w:tcPr>
                <w:p>
                  <w:pPr>
                    <w:spacing w:line="240" w:lineRule="auto"/>
                    <w:ind w:firstLine="0" w:firstLineChars="0"/>
                    <w:rPr>
                      <w:sz w:val="21"/>
                    </w:rPr>
                  </w:pPr>
                  <w:r>
                    <w:rPr>
                      <w:sz w:val="21"/>
                    </w:rPr>
                    <w:t>本项目为新建项目，正在编制环境影响报告。企业承诺严格执行环境影响评价制度、环境保护</w:t>
                  </w:r>
                  <w:r>
                    <w:rPr>
                      <w:rFonts w:hint="eastAsia"/>
                      <w:sz w:val="21"/>
                    </w:rPr>
                    <w:t>“</w:t>
                  </w:r>
                  <w:r>
                    <w:rPr>
                      <w:sz w:val="21"/>
                    </w:rPr>
                    <w:t>三同时</w:t>
                  </w:r>
                  <w:r>
                    <w:rPr>
                      <w:rFonts w:hint="eastAsia"/>
                      <w:sz w:val="21"/>
                    </w:rPr>
                    <w:t>”</w:t>
                  </w:r>
                  <w:r>
                    <w:rPr>
                      <w:sz w:val="21"/>
                    </w:rPr>
                    <w:t>的要求建设配套的环境保护设施并依法申请项目竣工环境保护验收，经环保部门验收合格后，方可投入生产。</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2</w:t>
                  </w:r>
                  <w:r>
                    <w:rPr>
                      <w:rFonts w:hint="eastAsia"/>
                      <w:sz w:val="21"/>
                    </w:rPr>
                    <w:t>、</w:t>
                  </w:r>
                  <w:r>
                    <w:rPr>
                      <w:sz w:val="21"/>
                    </w:rPr>
                    <w:t>按照环境保护主管部门和相关制度规定依法履行环境保护义务，应通过ISO环境管理体系认证。</w:t>
                  </w:r>
                </w:p>
              </w:tc>
              <w:tc>
                <w:tcPr>
                  <w:tcW w:w="2912" w:type="dxa"/>
                  <w:tcBorders>
                    <w:tl2br w:val="nil"/>
                    <w:tr2bl w:val="nil"/>
                  </w:tcBorders>
                  <w:vAlign w:val="center"/>
                </w:tcPr>
                <w:p>
                  <w:pPr>
                    <w:spacing w:line="240" w:lineRule="auto"/>
                    <w:ind w:firstLine="0" w:firstLineChars="0"/>
                    <w:rPr>
                      <w:sz w:val="21"/>
                    </w:rPr>
                  </w:pPr>
                  <w:r>
                    <w:rPr>
                      <w:sz w:val="21"/>
                    </w:rPr>
                    <w:t>企业承诺按照环境保护主管部门和相关制度规定依法履行环境保护义务，应通过ISO环境管理体系认证。</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sz w:val="21"/>
                    </w:rPr>
                    <w:t>3</w:t>
                  </w:r>
                  <w:r>
                    <w:rPr>
                      <w:rFonts w:hint="eastAsia"/>
                      <w:sz w:val="21"/>
                    </w:rPr>
                    <w:t>、</w:t>
                  </w:r>
                  <w:r>
                    <w:rPr>
                      <w:sz w:val="21"/>
                    </w:rPr>
                    <w:t>废钢铁加工配送企业应有雨水、生产废水、生活废水的收集和循环利用系统，废水经无害化处理后达标排放，或者排入城市污水集中处理系统处理</w:t>
                  </w:r>
                  <w:r>
                    <w:rPr>
                      <w:rFonts w:hint="eastAsia"/>
                      <w:sz w:val="21"/>
                    </w:rPr>
                    <w:t>；</w:t>
                  </w:r>
                  <w:r>
                    <w:rPr>
                      <w:sz w:val="21"/>
                    </w:rPr>
                    <w:t>应有废油回收储存设备和相关处理措施。消防设施应达到国家相关要求。</w:t>
                  </w:r>
                </w:p>
              </w:tc>
              <w:tc>
                <w:tcPr>
                  <w:tcW w:w="2912" w:type="dxa"/>
                  <w:tcBorders>
                    <w:tl2br w:val="nil"/>
                    <w:tr2bl w:val="nil"/>
                  </w:tcBorders>
                  <w:vAlign w:val="center"/>
                </w:tcPr>
                <w:p>
                  <w:pPr>
                    <w:spacing w:line="240" w:lineRule="auto"/>
                    <w:ind w:firstLine="0" w:firstLineChars="0"/>
                    <w:rPr>
                      <w:sz w:val="21"/>
                    </w:rPr>
                  </w:pPr>
                  <w:r>
                    <w:rPr>
                      <w:sz w:val="21"/>
                    </w:rPr>
                    <w:t>本项目</w:t>
                  </w:r>
                  <w:r>
                    <w:rPr>
                      <w:rFonts w:hint="eastAsia"/>
                      <w:sz w:val="21"/>
                    </w:rPr>
                    <w:t>厂区雨污分流，</w:t>
                  </w:r>
                  <w:r>
                    <w:rPr>
                      <w:sz w:val="21"/>
                    </w:rPr>
                    <w:t>生产过程中</w:t>
                  </w:r>
                  <w:r>
                    <w:rPr>
                      <w:rFonts w:hint="eastAsia"/>
                      <w:sz w:val="21"/>
                    </w:rPr>
                    <w:t>无</w:t>
                  </w:r>
                  <w:r>
                    <w:rPr>
                      <w:sz w:val="21"/>
                    </w:rPr>
                    <w:t>生产废水，主要废水</w:t>
                  </w:r>
                  <w:r>
                    <w:rPr>
                      <w:rFonts w:hint="eastAsia"/>
                      <w:sz w:val="21"/>
                    </w:rPr>
                    <w:t>为</w:t>
                  </w:r>
                  <w:r>
                    <w:rPr>
                      <w:sz w:val="21"/>
                    </w:rPr>
                    <w:t>生活废水和洗车废水，生活废水依托东方恒略生活污水处理站处理，处理后用于高炉冲渣，洗车废水经洗车平台沉淀后循环使用不外排</w:t>
                  </w:r>
                  <w:r>
                    <w:rPr>
                      <w:rFonts w:hint="eastAsia"/>
                      <w:sz w:val="21"/>
                    </w:rPr>
                    <w:t>。</w:t>
                  </w:r>
                  <w:r>
                    <w:rPr>
                      <w:sz w:val="21"/>
                    </w:rPr>
                    <w:t>消防设施应达到国家相关要求。</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spacing w:line="240" w:lineRule="auto"/>
                    <w:ind w:firstLine="0" w:firstLineChars="0"/>
                    <w:jc w:val="center"/>
                    <w:rPr>
                      <w:sz w:val="21"/>
                    </w:rPr>
                  </w:pPr>
                </w:p>
              </w:tc>
              <w:tc>
                <w:tcPr>
                  <w:tcW w:w="3507" w:type="dxa"/>
                  <w:tcBorders>
                    <w:tl2br w:val="nil"/>
                    <w:tr2bl w:val="nil"/>
                  </w:tcBorders>
                  <w:vAlign w:val="center"/>
                </w:tcPr>
                <w:p>
                  <w:pPr>
                    <w:spacing w:line="240" w:lineRule="auto"/>
                    <w:ind w:firstLine="0" w:firstLineChars="0"/>
                    <w:rPr>
                      <w:sz w:val="21"/>
                    </w:rPr>
                  </w:pPr>
                  <w:r>
                    <w:rPr>
                      <w:rFonts w:hint="eastAsia"/>
                      <w:sz w:val="21"/>
                    </w:rPr>
                    <w:t>4、</w:t>
                  </w:r>
                  <w:r>
                    <w:rPr>
                      <w:sz w:val="21"/>
                    </w:rPr>
                    <w:t>废钢铁加工配送企业应有突发环境事件或污染事件应急设施和处理预案，消防设施应达到国家相关要求。</w:t>
                  </w:r>
                </w:p>
              </w:tc>
              <w:tc>
                <w:tcPr>
                  <w:tcW w:w="2912" w:type="dxa"/>
                  <w:tcBorders>
                    <w:tl2br w:val="nil"/>
                    <w:tr2bl w:val="nil"/>
                  </w:tcBorders>
                  <w:vAlign w:val="center"/>
                </w:tcPr>
                <w:p>
                  <w:pPr>
                    <w:spacing w:line="240" w:lineRule="auto"/>
                    <w:ind w:firstLine="0" w:firstLineChars="0"/>
                    <w:rPr>
                      <w:sz w:val="21"/>
                    </w:rPr>
                  </w:pPr>
                  <w:r>
                    <w:rPr>
                      <w:rFonts w:hint="eastAsia"/>
                      <w:sz w:val="21"/>
                    </w:rPr>
                    <w:t>本项目正在办理环评手续，后续将依次办理突发环境事件或污染事件应急设施和处理预案。</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符合</w:t>
                  </w:r>
                </w:p>
              </w:tc>
            </w:tr>
          </w:tbl>
          <w:p>
            <w:pPr>
              <w:ind w:firstLine="480"/>
            </w:pPr>
            <w:r>
              <w:rPr>
                <w:rFonts w:hint="eastAsia"/>
              </w:rPr>
              <w:t>根据表1-7分析，本项目符合《废钢铁加工行业准入条件》（</w:t>
            </w:r>
            <w:r>
              <w:t>2016</w:t>
            </w:r>
            <w:r>
              <w:rPr>
                <w:rFonts w:hint="eastAsia"/>
              </w:rPr>
              <w:t>年</w:t>
            </w:r>
            <w:r>
              <w:t>12</w:t>
            </w:r>
            <w:r>
              <w:rPr>
                <w:rFonts w:hint="eastAsia"/>
              </w:rPr>
              <w:t>月</w:t>
            </w:r>
            <w:r>
              <w:t>31</w:t>
            </w:r>
            <w:r>
              <w:rPr>
                <w:rFonts w:hint="eastAsia"/>
              </w:rPr>
              <w:t>日起实施）的要求。</w:t>
            </w:r>
          </w:p>
          <w:p>
            <w:pPr>
              <w:pStyle w:val="44"/>
              <w:ind w:firstLine="0" w:firstLineChars="0"/>
            </w:pPr>
          </w:p>
        </w:tc>
      </w:tr>
    </w:tbl>
    <w:p>
      <w:pPr>
        <w:spacing w:line="360" w:lineRule="auto"/>
        <w:ind w:firstLine="600"/>
        <w:rPr>
          <w:rFonts w:eastAsia="黑体" w:cs="Times New Roman"/>
          <w:sz w:val="30"/>
          <w:szCs w:val="24"/>
        </w:rPr>
        <w:sectPr>
          <w:footerReference r:id="rId11" w:type="default"/>
          <w:pgSz w:w="11906" w:h="16838"/>
          <w:pgMar w:top="1701" w:right="1531" w:bottom="1701" w:left="1531" w:header="851" w:footer="1077" w:gutter="0"/>
          <w:pgNumType w:start="1"/>
          <w:cols w:space="720" w:num="1"/>
          <w:docGrid w:linePitch="312" w:charSpace="0"/>
        </w:sectPr>
      </w:pPr>
    </w:p>
    <w:p>
      <w:pPr>
        <w:pStyle w:val="3"/>
        <w:rPr>
          <w:color w:val="auto"/>
        </w:rPr>
      </w:pPr>
      <w:bookmarkStart w:id="5" w:name="_Toc71582780"/>
      <w:r>
        <w:rPr>
          <w:color w:val="auto"/>
        </w:rPr>
        <w:t>二、建设项目工程分析</w:t>
      </w:r>
      <w:bookmarkEnd w:id="5"/>
    </w:p>
    <w:tbl>
      <w:tblPr>
        <w:tblStyle w:val="34"/>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7"/>
        <w:gridCol w:w="82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dxa"/>
            <w:vAlign w:val="center"/>
          </w:tcPr>
          <w:p>
            <w:pPr>
              <w:widowControl/>
              <w:adjustRightInd w:val="0"/>
              <w:snapToGrid w:val="0"/>
              <w:ind w:firstLine="0" w:firstLineChars="0"/>
              <w:jc w:val="center"/>
              <w:rPr>
                <w:rFonts w:cs="Times New Roman"/>
                <w:b/>
                <w:bCs/>
                <w:kern w:val="0"/>
                <w:szCs w:val="21"/>
              </w:rPr>
            </w:pPr>
            <w:r>
              <w:rPr>
                <w:rFonts w:cs="Times New Roman"/>
                <w:b/>
                <w:bCs/>
                <w:kern w:val="0"/>
                <w:szCs w:val="21"/>
              </w:rPr>
              <w:t>建设</w:t>
            </w:r>
          </w:p>
          <w:p>
            <w:pPr>
              <w:widowControl/>
              <w:adjustRightInd w:val="0"/>
              <w:snapToGrid w:val="0"/>
              <w:ind w:firstLine="0" w:firstLineChars="0"/>
              <w:jc w:val="center"/>
              <w:rPr>
                <w:rFonts w:cs="Times New Roman"/>
                <w:kern w:val="0"/>
                <w:szCs w:val="21"/>
              </w:rPr>
            </w:pPr>
            <w:r>
              <w:rPr>
                <w:rFonts w:cs="Times New Roman"/>
                <w:b/>
                <w:bCs/>
                <w:kern w:val="0"/>
                <w:szCs w:val="21"/>
              </w:rPr>
              <w:t>内容</w:t>
            </w:r>
          </w:p>
        </w:tc>
        <w:tc>
          <w:tcPr>
            <w:tcW w:w="8237" w:type="dxa"/>
          </w:tcPr>
          <w:p>
            <w:pPr>
              <w:pStyle w:val="4"/>
            </w:pPr>
            <w:r>
              <w:rPr>
                <w:rFonts w:hint="eastAsia"/>
              </w:rPr>
              <w:t>2.1项目建设内容</w:t>
            </w:r>
          </w:p>
          <w:p>
            <w:pPr>
              <w:pStyle w:val="2"/>
              <w:ind w:firstLine="480"/>
            </w:pPr>
            <w:r>
              <w:rPr>
                <w:rFonts w:hint="eastAsia"/>
              </w:rPr>
              <w:t>本项目于2022年8月1日取得尧都高新技术产业开发区管理委员出具的备案证，项目代码：2208-141088-89-01-497604。</w:t>
            </w:r>
          </w:p>
          <w:p>
            <w:pPr>
              <w:ind w:firstLine="482"/>
            </w:pPr>
            <w:r>
              <w:rPr>
                <w:rFonts w:hint="eastAsia"/>
                <w:b/>
                <w:bCs/>
              </w:rPr>
              <w:t>建设规模：</w:t>
            </w:r>
            <w:r>
              <w:rPr>
                <w:rFonts w:hint="eastAsia"/>
              </w:rPr>
              <w:t>年加工配送5万吨废旧特种金属。</w:t>
            </w:r>
          </w:p>
          <w:p>
            <w:pPr>
              <w:pStyle w:val="2"/>
              <w:ind w:firstLine="482"/>
            </w:pPr>
            <w:r>
              <w:rPr>
                <w:rFonts w:hint="eastAsia"/>
                <w:b/>
                <w:bCs/>
              </w:rPr>
              <w:t>建设内容：</w:t>
            </w:r>
            <w:r>
              <w:rPr>
                <w:rFonts w:hint="eastAsia"/>
              </w:rPr>
              <w:t>租用一座8350m</w:t>
            </w:r>
            <w:r>
              <w:rPr>
                <w:rFonts w:hint="eastAsia"/>
                <w:vertAlign w:val="superscript"/>
              </w:rPr>
              <w:t>2</w:t>
            </w:r>
            <w:r>
              <w:rPr>
                <w:rFonts w:hint="eastAsia"/>
              </w:rPr>
              <w:t>综合生产车间，搭建年加工配送5万吨废旧特种金属生产线。综合生产车间内划分为分拣区、切割区、打包区和库房。具体工程组成内容详见表2-1。</w:t>
            </w:r>
          </w:p>
          <w:p>
            <w:pPr>
              <w:ind w:firstLine="480"/>
            </w:pPr>
            <w:r>
              <w:rPr>
                <w:rFonts w:hint="eastAsia"/>
              </w:rPr>
              <w:t>本次评价不包括核技术应用类环境影响评价，有关辐射类相关内容的环境影响专题另行评价。</w:t>
            </w:r>
          </w:p>
          <w:p>
            <w:pPr>
              <w:pStyle w:val="2"/>
              <w:spacing w:line="240" w:lineRule="auto"/>
              <w:ind w:firstLine="0" w:firstLineChars="0"/>
              <w:jc w:val="center"/>
              <w:rPr>
                <w:b/>
                <w:bCs/>
                <w:sz w:val="21"/>
              </w:rPr>
            </w:pPr>
            <w:r>
              <w:rPr>
                <w:rFonts w:hint="eastAsia"/>
                <w:b/>
                <w:bCs/>
                <w:sz w:val="21"/>
              </w:rPr>
              <w:t>表2-1  项目建设内容一览表</w:t>
            </w:r>
          </w:p>
          <w:tbl>
            <w:tblPr>
              <w:tblStyle w:val="3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0"/>
              <w:gridCol w:w="442"/>
              <w:gridCol w:w="928"/>
              <w:gridCol w:w="5185"/>
              <w:gridCol w:w="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工程类别</w:t>
                  </w:r>
                </w:p>
              </w:tc>
              <w:tc>
                <w:tcPr>
                  <w:tcW w:w="1370" w:type="dxa"/>
                  <w:gridSpan w:val="2"/>
                  <w:tcBorders>
                    <w:bottom w:val="single" w:color="auto" w:sz="12" w:space="0"/>
                  </w:tcBorders>
                  <w:vAlign w:val="center"/>
                </w:tcPr>
                <w:p>
                  <w:pPr>
                    <w:spacing w:line="240" w:lineRule="auto"/>
                    <w:ind w:firstLine="0" w:firstLineChars="0"/>
                    <w:jc w:val="center"/>
                    <w:rPr>
                      <w:b/>
                      <w:bCs/>
                      <w:sz w:val="21"/>
                    </w:rPr>
                  </w:pPr>
                  <w:r>
                    <w:rPr>
                      <w:rFonts w:hint="eastAsia"/>
                      <w:b/>
                      <w:bCs/>
                      <w:sz w:val="21"/>
                    </w:rPr>
                    <w:t>工程名称</w:t>
                  </w:r>
                </w:p>
              </w:tc>
              <w:tc>
                <w:tcPr>
                  <w:tcW w:w="5185"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工程内容</w:t>
                  </w:r>
                </w:p>
              </w:tc>
              <w:tc>
                <w:tcPr>
                  <w:tcW w:w="686"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1" w:hRule="atLeast"/>
              </w:trPr>
              <w:tc>
                <w:tcPr>
                  <w:tcW w:w="780" w:type="dxa"/>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主体工程</w:t>
                  </w:r>
                </w:p>
              </w:tc>
              <w:tc>
                <w:tcPr>
                  <w:tcW w:w="1370" w:type="dxa"/>
                  <w:gridSpan w:val="2"/>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生产车间</w:t>
                  </w:r>
                </w:p>
                <w:p>
                  <w:pPr>
                    <w:spacing w:line="240" w:lineRule="auto"/>
                    <w:ind w:firstLine="0" w:firstLineChars="0"/>
                    <w:jc w:val="center"/>
                    <w:rPr>
                      <w:sz w:val="21"/>
                    </w:rPr>
                  </w:pPr>
                </w:p>
              </w:tc>
              <w:tc>
                <w:tcPr>
                  <w:tcW w:w="5185" w:type="dxa"/>
                  <w:tcBorders>
                    <w:top w:val="single" w:color="auto" w:sz="12" w:space="0"/>
                    <w:tl2br w:val="nil"/>
                    <w:tr2bl w:val="nil"/>
                  </w:tcBorders>
                  <w:vAlign w:val="center"/>
                </w:tcPr>
                <w:p>
                  <w:pPr>
                    <w:spacing w:line="240" w:lineRule="auto"/>
                    <w:ind w:firstLine="210" w:firstLineChars="100"/>
                    <w:rPr>
                      <w:sz w:val="21"/>
                    </w:rPr>
                  </w:pPr>
                  <w:r>
                    <w:rPr>
                      <w:rFonts w:hint="eastAsia"/>
                      <w:sz w:val="21"/>
                    </w:rPr>
                    <w:t>租用盛泰源一座8350m</w:t>
                  </w:r>
                  <w:r>
                    <w:rPr>
                      <w:rFonts w:hint="eastAsia"/>
                      <w:sz w:val="21"/>
                      <w:vertAlign w:val="superscript"/>
                    </w:rPr>
                    <w:t>2</w:t>
                  </w:r>
                  <w:r>
                    <w:rPr>
                      <w:rFonts w:hint="eastAsia"/>
                      <w:sz w:val="21"/>
                    </w:rPr>
                    <w:t>综合生产车间，内划分为分拣区、剪切区、打包区和库房。</w:t>
                  </w:r>
                </w:p>
                <w:p>
                  <w:pPr>
                    <w:spacing w:line="240" w:lineRule="auto"/>
                    <w:ind w:firstLine="211" w:firstLineChars="100"/>
                    <w:rPr>
                      <w:sz w:val="21"/>
                    </w:rPr>
                  </w:pPr>
                  <w:r>
                    <w:rPr>
                      <w:rFonts w:hint="eastAsia"/>
                      <w:b/>
                      <w:bCs/>
                      <w:sz w:val="21"/>
                    </w:rPr>
                    <w:t>分拣区</w:t>
                  </w:r>
                  <w:r>
                    <w:rPr>
                      <w:rFonts w:hint="eastAsia"/>
                      <w:sz w:val="21"/>
                    </w:rPr>
                    <w:t>位于生产车间西侧，占地面积1000m</w:t>
                  </w:r>
                  <w:r>
                    <w:rPr>
                      <w:rFonts w:hint="eastAsia"/>
                      <w:sz w:val="21"/>
                      <w:vertAlign w:val="superscript"/>
                    </w:rPr>
                    <w:t>2</w:t>
                  </w:r>
                  <w:r>
                    <w:rPr>
                      <w:rFonts w:hint="eastAsia"/>
                      <w:sz w:val="21"/>
                    </w:rPr>
                    <w:t>，用于分拣废旧特种金属。</w:t>
                  </w:r>
                </w:p>
                <w:p>
                  <w:pPr>
                    <w:spacing w:line="240" w:lineRule="auto"/>
                    <w:ind w:firstLine="211" w:firstLineChars="100"/>
                    <w:rPr>
                      <w:sz w:val="21"/>
                    </w:rPr>
                  </w:pPr>
                  <w:r>
                    <w:rPr>
                      <w:rFonts w:hint="eastAsia"/>
                      <w:b/>
                      <w:bCs/>
                      <w:sz w:val="21"/>
                      <w:lang w:val="en-US" w:eastAsia="zh-CN"/>
                    </w:rPr>
                    <w:t>剪切</w:t>
                  </w:r>
                  <w:r>
                    <w:rPr>
                      <w:rFonts w:hint="eastAsia"/>
                      <w:b/>
                      <w:bCs/>
                      <w:sz w:val="21"/>
                    </w:rPr>
                    <w:t>区</w:t>
                  </w:r>
                  <w:r>
                    <w:rPr>
                      <w:rFonts w:hint="eastAsia"/>
                      <w:sz w:val="21"/>
                    </w:rPr>
                    <w:t>位于生产车间东侧，占地面积1000m</w:t>
                  </w:r>
                  <w:r>
                    <w:rPr>
                      <w:rFonts w:hint="eastAsia"/>
                      <w:sz w:val="21"/>
                      <w:vertAlign w:val="superscript"/>
                    </w:rPr>
                    <w:t>2</w:t>
                  </w:r>
                  <w:r>
                    <w:rPr>
                      <w:rFonts w:hint="eastAsia"/>
                      <w:sz w:val="21"/>
                    </w:rPr>
                    <w:t>，内设一台</w:t>
                  </w:r>
                  <w:r>
                    <w:rPr>
                      <w:rFonts w:hint="eastAsia"/>
                      <w:bCs/>
                      <w:sz w:val="21"/>
                      <w:szCs w:val="21"/>
                    </w:rPr>
                    <w:t>液压龙门剪切机。</w:t>
                  </w:r>
                </w:p>
                <w:p>
                  <w:pPr>
                    <w:spacing w:line="240" w:lineRule="auto"/>
                    <w:ind w:firstLine="211" w:firstLineChars="100"/>
                    <w:rPr>
                      <w:sz w:val="21"/>
                    </w:rPr>
                  </w:pPr>
                  <w:r>
                    <w:rPr>
                      <w:rFonts w:hint="eastAsia"/>
                      <w:b/>
                      <w:bCs/>
                      <w:sz w:val="21"/>
                    </w:rPr>
                    <w:t>打包区</w:t>
                  </w:r>
                  <w:r>
                    <w:rPr>
                      <w:rFonts w:hint="eastAsia"/>
                      <w:sz w:val="21"/>
                    </w:rPr>
                    <w:t>位于生产车间东侧，占地面积1000m</w:t>
                  </w:r>
                  <w:r>
                    <w:rPr>
                      <w:rFonts w:hint="eastAsia"/>
                      <w:sz w:val="21"/>
                      <w:vertAlign w:val="superscript"/>
                    </w:rPr>
                    <w:t>2</w:t>
                  </w:r>
                  <w:r>
                    <w:rPr>
                      <w:rFonts w:hint="eastAsia"/>
                      <w:sz w:val="21"/>
                    </w:rPr>
                    <w:t>，内设一台液压打包机。</w:t>
                  </w:r>
                </w:p>
                <w:p>
                  <w:pPr>
                    <w:spacing w:line="240" w:lineRule="auto"/>
                    <w:ind w:firstLine="211" w:firstLineChars="100"/>
                    <w:rPr>
                      <w:sz w:val="21"/>
                    </w:rPr>
                  </w:pPr>
                  <w:r>
                    <w:rPr>
                      <w:rFonts w:hint="eastAsia"/>
                      <w:b/>
                      <w:bCs/>
                      <w:sz w:val="21"/>
                    </w:rPr>
                    <w:t>库房</w:t>
                  </w:r>
                  <w:r>
                    <w:rPr>
                      <w:rFonts w:hint="eastAsia"/>
                      <w:sz w:val="21"/>
                    </w:rPr>
                    <w:t>位于生产车间中部，占地面积5350m</w:t>
                  </w:r>
                  <w:r>
                    <w:rPr>
                      <w:rFonts w:hint="eastAsia"/>
                      <w:sz w:val="21"/>
                      <w:vertAlign w:val="superscript"/>
                    </w:rPr>
                    <w:t>2</w:t>
                  </w:r>
                  <w:r>
                    <w:rPr>
                      <w:rFonts w:hint="eastAsia"/>
                      <w:sz w:val="21"/>
                    </w:rPr>
                    <w:t>，用于储存废旧特种金属和成品块状特种钢。</w:t>
                  </w:r>
                </w:p>
              </w:tc>
              <w:tc>
                <w:tcPr>
                  <w:tcW w:w="686" w:type="dxa"/>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租用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tcBorders>
                    <w:tl2br w:val="nil"/>
                    <w:tr2bl w:val="nil"/>
                  </w:tcBorders>
                  <w:vAlign w:val="center"/>
                </w:tcPr>
                <w:p>
                  <w:pPr>
                    <w:spacing w:line="240" w:lineRule="auto"/>
                    <w:ind w:firstLine="0" w:firstLineChars="0"/>
                    <w:jc w:val="center"/>
                    <w:rPr>
                      <w:sz w:val="21"/>
                    </w:rPr>
                  </w:pPr>
                  <w:r>
                    <w:rPr>
                      <w:rFonts w:hint="eastAsia"/>
                      <w:sz w:val="21"/>
                    </w:rPr>
                    <w:t>储运工程</w:t>
                  </w:r>
                </w:p>
              </w:tc>
              <w:tc>
                <w:tcPr>
                  <w:tcW w:w="1370" w:type="dxa"/>
                  <w:gridSpan w:val="2"/>
                  <w:tcBorders>
                    <w:tl2br w:val="nil"/>
                    <w:tr2bl w:val="nil"/>
                  </w:tcBorders>
                  <w:vAlign w:val="center"/>
                </w:tcPr>
                <w:p>
                  <w:pPr>
                    <w:spacing w:line="240" w:lineRule="auto"/>
                    <w:ind w:firstLine="0" w:firstLineChars="0"/>
                    <w:jc w:val="center"/>
                    <w:rPr>
                      <w:sz w:val="21"/>
                    </w:rPr>
                  </w:pPr>
                  <w:r>
                    <w:rPr>
                      <w:rFonts w:hint="eastAsia"/>
                      <w:sz w:val="21"/>
                    </w:rPr>
                    <w:t>库房</w:t>
                  </w:r>
                </w:p>
              </w:tc>
              <w:tc>
                <w:tcPr>
                  <w:tcW w:w="5185" w:type="dxa"/>
                  <w:tcBorders>
                    <w:tl2br w:val="nil"/>
                    <w:tr2bl w:val="nil"/>
                  </w:tcBorders>
                  <w:vAlign w:val="center"/>
                </w:tcPr>
                <w:p>
                  <w:pPr>
                    <w:spacing w:line="240" w:lineRule="auto"/>
                    <w:ind w:firstLine="0" w:firstLineChars="0"/>
                    <w:rPr>
                      <w:sz w:val="21"/>
                    </w:rPr>
                  </w:pPr>
                  <w:r>
                    <w:rPr>
                      <w:rFonts w:hint="eastAsia"/>
                      <w:sz w:val="21"/>
                    </w:rPr>
                    <w:t>库房用于储存废旧特种金属和成品块状特种钢。</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780" w:type="dxa"/>
                  <w:vMerge w:val="restart"/>
                  <w:tcBorders>
                    <w:tl2br w:val="nil"/>
                    <w:tr2bl w:val="nil"/>
                  </w:tcBorders>
                  <w:vAlign w:val="center"/>
                </w:tcPr>
                <w:p>
                  <w:pPr>
                    <w:spacing w:line="240" w:lineRule="auto"/>
                    <w:ind w:firstLine="0" w:firstLineChars="0"/>
                    <w:jc w:val="center"/>
                    <w:rPr>
                      <w:sz w:val="21"/>
                    </w:rPr>
                  </w:pPr>
                  <w:r>
                    <w:rPr>
                      <w:rFonts w:hint="eastAsia"/>
                      <w:sz w:val="21"/>
                    </w:rPr>
                    <w:t>辅助工程</w:t>
                  </w:r>
                </w:p>
              </w:tc>
              <w:tc>
                <w:tcPr>
                  <w:tcW w:w="1370" w:type="dxa"/>
                  <w:gridSpan w:val="2"/>
                  <w:tcBorders>
                    <w:tl2br w:val="nil"/>
                    <w:tr2bl w:val="nil"/>
                  </w:tcBorders>
                  <w:vAlign w:val="center"/>
                </w:tcPr>
                <w:p>
                  <w:pPr>
                    <w:spacing w:line="240" w:lineRule="auto"/>
                    <w:ind w:firstLine="0" w:firstLineChars="0"/>
                    <w:jc w:val="center"/>
                    <w:rPr>
                      <w:sz w:val="21"/>
                    </w:rPr>
                  </w:pPr>
                  <w:r>
                    <w:rPr>
                      <w:rFonts w:hint="eastAsia"/>
                      <w:sz w:val="21"/>
                    </w:rPr>
                    <w:t>办公室</w:t>
                  </w:r>
                </w:p>
              </w:tc>
              <w:tc>
                <w:tcPr>
                  <w:tcW w:w="5185" w:type="dxa"/>
                  <w:tcBorders>
                    <w:tl2br w:val="nil"/>
                    <w:tr2bl w:val="nil"/>
                  </w:tcBorders>
                  <w:vAlign w:val="center"/>
                </w:tcPr>
                <w:p>
                  <w:pPr>
                    <w:spacing w:line="240" w:lineRule="auto"/>
                    <w:ind w:firstLine="0" w:firstLineChars="0"/>
                    <w:rPr>
                      <w:sz w:val="21"/>
                    </w:rPr>
                  </w:pPr>
                  <w:r>
                    <w:rPr>
                      <w:rFonts w:hint="eastAsia"/>
                      <w:sz w:val="21"/>
                    </w:rPr>
                    <w:t>租用盛泰源办公室一楼北侧，租用办公室100m</w:t>
                  </w:r>
                  <w:r>
                    <w:rPr>
                      <w:rFonts w:hint="eastAsia"/>
                      <w:sz w:val="21"/>
                      <w:vertAlign w:val="superscript"/>
                    </w:rPr>
                    <w:t>2</w:t>
                  </w:r>
                  <w:r>
                    <w:rPr>
                      <w:rFonts w:hint="eastAsia"/>
                      <w:sz w:val="21"/>
                    </w:rPr>
                    <w:t>。</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租用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780" w:type="dxa"/>
                  <w:vMerge w:val="continue"/>
                  <w:tcBorders>
                    <w:tl2br w:val="nil"/>
                    <w:tr2bl w:val="nil"/>
                  </w:tcBorders>
                  <w:vAlign w:val="center"/>
                </w:tcPr>
                <w:p>
                  <w:pPr>
                    <w:spacing w:line="240" w:lineRule="auto"/>
                    <w:ind w:firstLine="0" w:firstLineChars="0"/>
                    <w:jc w:val="center"/>
                    <w:rPr>
                      <w:sz w:val="21"/>
                    </w:rPr>
                  </w:pPr>
                </w:p>
              </w:tc>
              <w:tc>
                <w:tcPr>
                  <w:tcW w:w="1370" w:type="dxa"/>
                  <w:gridSpan w:val="2"/>
                  <w:tcBorders>
                    <w:tl2br w:val="nil"/>
                    <w:tr2bl w:val="nil"/>
                  </w:tcBorders>
                  <w:vAlign w:val="center"/>
                </w:tcPr>
                <w:p>
                  <w:pPr>
                    <w:spacing w:line="240" w:lineRule="auto"/>
                    <w:ind w:firstLine="0" w:firstLineChars="0"/>
                    <w:jc w:val="center"/>
                    <w:rPr>
                      <w:sz w:val="21"/>
                    </w:rPr>
                  </w:pPr>
                  <w:r>
                    <w:rPr>
                      <w:rFonts w:hint="eastAsia"/>
                      <w:sz w:val="21"/>
                    </w:rPr>
                    <w:t>配电室</w:t>
                  </w:r>
                </w:p>
              </w:tc>
              <w:tc>
                <w:tcPr>
                  <w:tcW w:w="5185" w:type="dxa"/>
                  <w:tcBorders>
                    <w:tl2br w:val="nil"/>
                    <w:tr2bl w:val="nil"/>
                  </w:tcBorders>
                  <w:vAlign w:val="center"/>
                </w:tcPr>
                <w:p>
                  <w:pPr>
                    <w:spacing w:line="240" w:lineRule="auto"/>
                    <w:ind w:firstLine="0" w:firstLineChars="0"/>
                    <w:rPr>
                      <w:sz w:val="21"/>
                    </w:rPr>
                  </w:pPr>
                  <w:r>
                    <w:rPr>
                      <w:rFonts w:hint="eastAsia"/>
                      <w:sz w:val="21"/>
                    </w:rPr>
                    <w:t>新建10kv变压器。</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780" w:type="dxa"/>
                  <w:vMerge w:val="restart"/>
                  <w:tcBorders>
                    <w:tl2br w:val="nil"/>
                    <w:tr2bl w:val="nil"/>
                  </w:tcBorders>
                  <w:vAlign w:val="center"/>
                </w:tcPr>
                <w:p>
                  <w:pPr>
                    <w:spacing w:line="240" w:lineRule="auto"/>
                    <w:ind w:firstLine="0" w:firstLineChars="0"/>
                    <w:jc w:val="center"/>
                    <w:rPr>
                      <w:sz w:val="21"/>
                    </w:rPr>
                  </w:pPr>
                  <w:r>
                    <w:rPr>
                      <w:rFonts w:hint="eastAsia"/>
                      <w:sz w:val="21"/>
                    </w:rPr>
                    <w:t>公用工程</w:t>
                  </w:r>
                </w:p>
              </w:tc>
              <w:tc>
                <w:tcPr>
                  <w:tcW w:w="1370" w:type="dxa"/>
                  <w:gridSpan w:val="2"/>
                  <w:tcBorders>
                    <w:tl2br w:val="nil"/>
                    <w:tr2bl w:val="nil"/>
                  </w:tcBorders>
                  <w:vAlign w:val="center"/>
                </w:tcPr>
                <w:p>
                  <w:pPr>
                    <w:spacing w:line="240" w:lineRule="auto"/>
                    <w:ind w:firstLine="0" w:firstLineChars="0"/>
                    <w:jc w:val="center"/>
                    <w:rPr>
                      <w:sz w:val="21"/>
                    </w:rPr>
                  </w:pPr>
                  <w:r>
                    <w:rPr>
                      <w:rFonts w:hint="eastAsia"/>
                      <w:sz w:val="21"/>
                    </w:rPr>
                    <w:t>供电</w:t>
                  </w:r>
                </w:p>
              </w:tc>
              <w:tc>
                <w:tcPr>
                  <w:tcW w:w="5185" w:type="dxa"/>
                  <w:tcBorders>
                    <w:tl2br w:val="nil"/>
                    <w:tr2bl w:val="nil"/>
                  </w:tcBorders>
                  <w:vAlign w:val="center"/>
                </w:tcPr>
                <w:p>
                  <w:pPr>
                    <w:spacing w:line="240" w:lineRule="auto"/>
                    <w:ind w:firstLine="0" w:firstLineChars="0"/>
                    <w:rPr>
                      <w:sz w:val="21"/>
                    </w:rPr>
                  </w:pPr>
                  <w:r>
                    <w:rPr>
                      <w:rFonts w:hint="eastAsia"/>
                      <w:sz w:val="21"/>
                    </w:rPr>
                    <w:t>新建10kv变压器。</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vMerge w:val="continue"/>
                  <w:tcBorders>
                    <w:tl2br w:val="nil"/>
                    <w:tr2bl w:val="nil"/>
                  </w:tcBorders>
                  <w:vAlign w:val="center"/>
                </w:tcPr>
                <w:p>
                  <w:pPr>
                    <w:spacing w:line="240" w:lineRule="auto"/>
                    <w:ind w:firstLine="0" w:firstLineChars="0"/>
                    <w:jc w:val="center"/>
                    <w:rPr>
                      <w:sz w:val="21"/>
                    </w:rPr>
                  </w:pPr>
                </w:p>
              </w:tc>
              <w:tc>
                <w:tcPr>
                  <w:tcW w:w="1370" w:type="dxa"/>
                  <w:gridSpan w:val="2"/>
                  <w:tcBorders>
                    <w:tl2br w:val="nil"/>
                    <w:tr2bl w:val="nil"/>
                  </w:tcBorders>
                  <w:vAlign w:val="center"/>
                </w:tcPr>
                <w:p>
                  <w:pPr>
                    <w:spacing w:line="240" w:lineRule="auto"/>
                    <w:ind w:firstLine="0" w:firstLineChars="0"/>
                    <w:jc w:val="center"/>
                    <w:rPr>
                      <w:sz w:val="21"/>
                    </w:rPr>
                  </w:pPr>
                  <w:r>
                    <w:rPr>
                      <w:rFonts w:hint="eastAsia"/>
                      <w:sz w:val="21"/>
                    </w:rPr>
                    <w:t>供暖</w:t>
                  </w:r>
                </w:p>
              </w:tc>
              <w:tc>
                <w:tcPr>
                  <w:tcW w:w="5185" w:type="dxa"/>
                  <w:tcBorders>
                    <w:tl2br w:val="nil"/>
                    <w:tr2bl w:val="nil"/>
                  </w:tcBorders>
                  <w:vAlign w:val="center"/>
                </w:tcPr>
                <w:p>
                  <w:pPr>
                    <w:spacing w:line="240" w:lineRule="auto"/>
                    <w:ind w:firstLine="0" w:firstLineChars="0"/>
                    <w:rPr>
                      <w:sz w:val="21"/>
                    </w:rPr>
                  </w:pPr>
                  <w:r>
                    <w:rPr>
                      <w:rFonts w:hint="eastAsia"/>
                      <w:sz w:val="21"/>
                    </w:rPr>
                    <w:t>冬季，生产车间不采暖，办公室采用电采暖。</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80" w:type="dxa"/>
                  <w:vMerge w:val="restart"/>
                  <w:tcBorders>
                    <w:tl2br w:val="nil"/>
                    <w:tr2bl w:val="nil"/>
                  </w:tcBorders>
                  <w:vAlign w:val="center"/>
                </w:tcPr>
                <w:p>
                  <w:pPr>
                    <w:spacing w:line="240" w:lineRule="auto"/>
                    <w:ind w:firstLine="0" w:firstLineChars="0"/>
                    <w:jc w:val="center"/>
                    <w:rPr>
                      <w:color w:val="auto"/>
                      <w:sz w:val="21"/>
                    </w:rPr>
                  </w:pPr>
                  <w:r>
                    <w:rPr>
                      <w:rFonts w:hint="eastAsia"/>
                      <w:color w:val="auto"/>
                      <w:sz w:val="21"/>
                    </w:rPr>
                    <w:t>依托工程</w:t>
                  </w:r>
                </w:p>
              </w:tc>
              <w:tc>
                <w:tcPr>
                  <w:tcW w:w="1370" w:type="dxa"/>
                  <w:gridSpan w:val="2"/>
                  <w:tcBorders>
                    <w:tl2br w:val="nil"/>
                    <w:tr2bl w:val="nil"/>
                  </w:tcBorders>
                  <w:vAlign w:val="center"/>
                </w:tcPr>
                <w:p>
                  <w:pPr>
                    <w:spacing w:line="240" w:lineRule="auto"/>
                    <w:ind w:firstLine="0" w:firstLineChars="0"/>
                    <w:jc w:val="center"/>
                    <w:rPr>
                      <w:color w:val="auto"/>
                      <w:sz w:val="21"/>
                    </w:rPr>
                  </w:pPr>
                  <w:r>
                    <w:rPr>
                      <w:rFonts w:hint="eastAsia"/>
                      <w:color w:val="auto"/>
                      <w:sz w:val="21"/>
                    </w:rPr>
                    <w:t>食堂</w:t>
                  </w:r>
                </w:p>
              </w:tc>
              <w:tc>
                <w:tcPr>
                  <w:tcW w:w="5185" w:type="dxa"/>
                  <w:tcBorders>
                    <w:tl2br w:val="nil"/>
                    <w:tr2bl w:val="nil"/>
                  </w:tcBorders>
                  <w:vAlign w:val="center"/>
                </w:tcPr>
                <w:p>
                  <w:pPr>
                    <w:spacing w:line="240" w:lineRule="auto"/>
                    <w:ind w:firstLine="0" w:firstLineChars="0"/>
                    <w:rPr>
                      <w:color w:val="auto"/>
                      <w:sz w:val="21"/>
                    </w:rPr>
                  </w:pPr>
                  <w:r>
                    <w:rPr>
                      <w:rFonts w:hint="eastAsia"/>
                      <w:color w:val="auto"/>
                      <w:sz w:val="21"/>
                    </w:rPr>
                    <w:t>依托盛泰源食堂，本项目就餐人数15人。</w:t>
                  </w:r>
                </w:p>
              </w:tc>
              <w:tc>
                <w:tcPr>
                  <w:tcW w:w="686" w:type="dxa"/>
                  <w:tcBorders>
                    <w:tl2br w:val="nil"/>
                    <w:tr2bl w:val="nil"/>
                  </w:tcBorders>
                  <w:vAlign w:val="center"/>
                </w:tcPr>
                <w:p>
                  <w:pPr>
                    <w:spacing w:line="240" w:lineRule="auto"/>
                    <w:ind w:firstLine="0" w:firstLineChars="0"/>
                    <w:jc w:val="center"/>
                    <w:rPr>
                      <w:color w:val="auto"/>
                      <w:sz w:val="21"/>
                    </w:rPr>
                  </w:pPr>
                  <w:r>
                    <w:rPr>
                      <w:rFonts w:hint="eastAsia"/>
                      <w:color w:val="auto"/>
                      <w:sz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80" w:type="dxa"/>
                  <w:vMerge w:val="continue"/>
                  <w:tcBorders>
                    <w:tl2br w:val="nil"/>
                    <w:tr2bl w:val="nil"/>
                  </w:tcBorders>
                  <w:vAlign w:val="center"/>
                </w:tcPr>
                <w:p>
                  <w:pPr>
                    <w:spacing w:line="240" w:lineRule="auto"/>
                    <w:ind w:firstLine="0" w:firstLineChars="0"/>
                    <w:jc w:val="center"/>
                    <w:rPr>
                      <w:color w:val="auto"/>
                      <w:sz w:val="21"/>
                    </w:rPr>
                  </w:pPr>
                </w:p>
              </w:tc>
              <w:tc>
                <w:tcPr>
                  <w:tcW w:w="1370" w:type="dxa"/>
                  <w:gridSpan w:val="2"/>
                  <w:tcBorders>
                    <w:tl2br w:val="nil"/>
                    <w:tr2bl w:val="nil"/>
                  </w:tcBorders>
                  <w:vAlign w:val="center"/>
                </w:tcPr>
                <w:p>
                  <w:pPr>
                    <w:spacing w:line="240" w:lineRule="auto"/>
                    <w:ind w:firstLine="0" w:firstLineChars="0"/>
                    <w:jc w:val="center"/>
                    <w:rPr>
                      <w:color w:val="auto"/>
                      <w:sz w:val="21"/>
                    </w:rPr>
                  </w:pPr>
                  <w:r>
                    <w:rPr>
                      <w:rFonts w:hint="eastAsia"/>
                      <w:color w:val="auto"/>
                      <w:sz w:val="21"/>
                    </w:rPr>
                    <w:t>门房治安室</w:t>
                  </w:r>
                </w:p>
              </w:tc>
              <w:tc>
                <w:tcPr>
                  <w:tcW w:w="5185" w:type="dxa"/>
                  <w:tcBorders>
                    <w:tl2br w:val="nil"/>
                    <w:tr2bl w:val="nil"/>
                  </w:tcBorders>
                  <w:vAlign w:val="center"/>
                </w:tcPr>
                <w:p>
                  <w:pPr>
                    <w:spacing w:line="240" w:lineRule="auto"/>
                    <w:ind w:firstLine="0" w:firstLineChars="0"/>
                    <w:rPr>
                      <w:color w:val="auto"/>
                      <w:sz w:val="21"/>
                    </w:rPr>
                  </w:pPr>
                  <w:r>
                    <w:rPr>
                      <w:rFonts w:hint="eastAsia"/>
                      <w:color w:val="auto"/>
                      <w:sz w:val="21"/>
                      <w:lang w:val="en-US" w:eastAsia="zh-CN"/>
                    </w:rPr>
                    <w:t>本项目属于厂中厂，依次经东方恒略、盛泰源进入本项目厂区。项目厂区无明显厂界，与东方恒略共用门房治安室。</w:t>
                  </w:r>
                </w:p>
              </w:tc>
              <w:tc>
                <w:tcPr>
                  <w:tcW w:w="686" w:type="dxa"/>
                  <w:tcBorders>
                    <w:tl2br w:val="nil"/>
                    <w:tr2bl w:val="nil"/>
                  </w:tcBorders>
                  <w:vAlign w:val="center"/>
                </w:tcPr>
                <w:p>
                  <w:pPr>
                    <w:spacing w:line="240" w:lineRule="auto"/>
                    <w:ind w:firstLine="0" w:firstLineChars="0"/>
                    <w:jc w:val="center"/>
                    <w:rPr>
                      <w:color w:val="auto"/>
                      <w:sz w:val="21"/>
                    </w:rPr>
                  </w:pPr>
                  <w:r>
                    <w:rPr>
                      <w:rFonts w:hint="eastAsia"/>
                      <w:color w:val="auto"/>
                      <w:sz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80" w:type="dxa"/>
                  <w:vMerge w:val="continue"/>
                  <w:tcBorders>
                    <w:tl2br w:val="nil"/>
                    <w:tr2bl w:val="nil"/>
                  </w:tcBorders>
                  <w:vAlign w:val="center"/>
                </w:tcPr>
                <w:p>
                  <w:pPr>
                    <w:spacing w:line="240" w:lineRule="auto"/>
                    <w:ind w:firstLine="0" w:firstLineChars="0"/>
                    <w:jc w:val="center"/>
                    <w:rPr>
                      <w:color w:val="auto"/>
                      <w:sz w:val="21"/>
                    </w:rPr>
                  </w:pPr>
                </w:p>
              </w:tc>
              <w:tc>
                <w:tcPr>
                  <w:tcW w:w="1370" w:type="dxa"/>
                  <w:gridSpan w:val="2"/>
                  <w:tcBorders>
                    <w:tl2br w:val="nil"/>
                    <w:tr2bl w:val="nil"/>
                  </w:tcBorders>
                  <w:vAlign w:val="center"/>
                </w:tcPr>
                <w:p>
                  <w:pPr>
                    <w:spacing w:line="240" w:lineRule="auto"/>
                    <w:ind w:firstLine="0" w:firstLineChars="0"/>
                    <w:jc w:val="center"/>
                    <w:rPr>
                      <w:color w:val="auto"/>
                      <w:sz w:val="21"/>
                    </w:rPr>
                  </w:pPr>
                  <w:r>
                    <w:rPr>
                      <w:rFonts w:hint="eastAsia"/>
                      <w:color w:val="auto"/>
                      <w:sz w:val="21"/>
                    </w:rPr>
                    <w:t>污水处理站</w:t>
                  </w:r>
                </w:p>
              </w:tc>
              <w:tc>
                <w:tcPr>
                  <w:tcW w:w="5185" w:type="dxa"/>
                  <w:tcBorders>
                    <w:tl2br w:val="nil"/>
                    <w:tr2bl w:val="nil"/>
                  </w:tcBorders>
                  <w:vAlign w:val="center"/>
                </w:tcPr>
                <w:p>
                  <w:pPr>
                    <w:spacing w:line="240" w:lineRule="auto"/>
                    <w:ind w:firstLine="0" w:firstLineChars="0"/>
                    <w:rPr>
                      <w:color w:val="auto"/>
                      <w:sz w:val="21"/>
                    </w:rPr>
                  </w:pPr>
                  <w:r>
                    <w:rPr>
                      <w:rFonts w:hint="eastAsia"/>
                      <w:color w:val="auto"/>
                      <w:sz w:val="21"/>
                    </w:rPr>
                    <w:t>依托东方恒略生活污水处理站。</w:t>
                  </w:r>
                </w:p>
              </w:tc>
              <w:tc>
                <w:tcPr>
                  <w:tcW w:w="686" w:type="dxa"/>
                  <w:tcBorders>
                    <w:tl2br w:val="nil"/>
                    <w:tr2bl w:val="nil"/>
                  </w:tcBorders>
                  <w:vAlign w:val="center"/>
                </w:tcPr>
                <w:p>
                  <w:pPr>
                    <w:spacing w:line="240" w:lineRule="auto"/>
                    <w:ind w:firstLine="0" w:firstLineChars="0"/>
                    <w:jc w:val="center"/>
                    <w:rPr>
                      <w:color w:val="auto"/>
                      <w:sz w:val="21"/>
                    </w:rPr>
                  </w:pPr>
                  <w:r>
                    <w:rPr>
                      <w:rFonts w:hint="eastAsia"/>
                      <w:color w:val="auto"/>
                      <w:sz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80" w:type="dxa"/>
                  <w:vMerge w:val="continue"/>
                  <w:tcBorders>
                    <w:tl2br w:val="nil"/>
                    <w:tr2bl w:val="nil"/>
                  </w:tcBorders>
                  <w:vAlign w:val="center"/>
                </w:tcPr>
                <w:p>
                  <w:pPr>
                    <w:spacing w:line="240" w:lineRule="auto"/>
                    <w:ind w:firstLine="0" w:firstLineChars="0"/>
                    <w:jc w:val="center"/>
                    <w:rPr>
                      <w:color w:val="auto"/>
                      <w:sz w:val="21"/>
                    </w:rPr>
                  </w:pPr>
                </w:p>
              </w:tc>
              <w:tc>
                <w:tcPr>
                  <w:tcW w:w="1370" w:type="dxa"/>
                  <w:gridSpan w:val="2"/>
                  <w:tcBorders>
                    <w:tl2br w:val="nil"/>
                    <w:tr2bl w:val="nil"/>
                  </w:tcBorders>
                  <w:vAlign w:val="center"/>
                </w:tcPr>
                <w:p>
                  <w:pPr>
                    <w:spacing w:line="240" w:lineRule="auto"/>
                    <w:ind w:firstLine="0" w:firstLineChars="0"/>
                    <w:jc w:val="center"/>
                    <w:rPr>
                      <w:color w:val="auto"/>
                      <w:sz w:val="21"/>
                    </w:rPr>
                  </w:pPr>
                  <w:r>
                    <w:rPr>
                      <w:rFonts w:hint="eastAsia"/>
                      <w:color w:val="auto"/>
                      <w:sz w:val="21"/>
                    </w:rPr>
                    <w:t>供水</w:t>
                  </w:r>
                </w:p>
              </w:tc>
              <w:tc>
                <w:tcPr>
                  <w:tcW w:w="5185" w:type="dxa"/>
                  <w:tcBorders>
                    <w:tl2br w:val="nil"/>
                    <w:tr2bl w:val="nil"/>
                  </w:tcBorders>
                  <w:vAlign w:val="center"/>
                </w:tcPr>
                <w:p>
                  <w:pPr>
                    <w:spacing w:line="240" w:lineRule="auto"/>
                    <w:ind w:firstLine="0" w:firstLineChars="0"/>
                    <w:rPr>
                      <w:rFonts w:hint="eastAsia" w:eastAsia="宋体"/>
                      <w:color w:val="auto"/>
                      <w:sz w:val="21"/>
                      <w:lang w:val="en-US" w:eastAsia="zh-CN"/>
                    </w:rPr>
                  </w:pPr>
                  <w:r>
                    <w:rPr>
                      <w:rFonts w:hint="eastAsia"/>
                      <w:color w:val="auto"/>
                      <w:sz w:val="21"/>
                      <w:lang w:val="en-US" w:eastAsia="zh-CN"/>
                    </w:rPr>
                    <w:t>项目用水由东方恒略供给。</w:t>
                  </w:r>
                  <w:r>
                    <w:rPr>
                      <w:rFonts w:hint="eastAsia"/>
                      <w:color w:val="auto"/>
                      <w:sz w:val="21"/>
                    </w:rPr>
                    <w:t>东方恒略</w:t>
                  </w:r>
                  <w:r>
                    <w:rPr>
                      <w:rFonts w:hint="eastAsia"/>
                      <w:color w:val="auto"/>
                      <w:sz w:val="21"/>
                      <w:lang w:val="en-US" w:eastAsia="zh-CN"/>
                    </w:rPr>
                    <w:t>生活用水由厂区自备水井供给，生产用水由涝</w:t>
                  </w:r>
                  <w:r>
                    <w:rPr>
                      <w:rFonts w:hint="eastAsia"/>
                      <w:color w:val="auto"/>
                      <w:sz w:val="21"/>
                    </w:rPr>
                    <w:t>河水库供给</w:t>
                  </w:r>
                  <w:r>
                    <w:rPr>
                      <w:rFonts w:hint="eastAsia"/>
                      <w:color w:val="auto"/>
                      <w:sz w:val="21"/>
                      <w:lang w:eastAsia="zh-CN"/>
                    </w:rPr>
                    <w:t>。</w:t>
                  </w:r>
                </w:p>
                <w:p>
                  <w:pPr>
                    <w:spacing w:line="240" w:lineRule="auto"/>
                    <w:ind w:firstLine="0" w:firstLineChars="0"/>
                    <w:rPr>
                      <w:rFonts w:hint="default" w:eastAsia="宋体"/>
                      <w:color w:val="auto"/>
                      <w:sz w:val="21"/>
                      <w:lang w:val="en-US" w:eastAsia="zh-CN"/>
                    </w:rPr>
                  </w:pPr>
                  <w:r>
                    <w:rPr>
                      <w:rFonts w:hint="eastAsia"/>
                      <w:color w:val="auto"/>
                      <w:sz w:val="21"/>
                      <w:lang w:val="en-US" w:eastAsia="zh-CN"/>
                    </w:rPr>
                    <w:t>东方恒略取水许可证有效期自2022年1月9日至2027年1月8日，编号：B141002S2022-0025。</w:t>
                  </w:r>
                </w:p>
              </w:tc>
              <w:tc>
                <w:tcPr>
                  <w:tcW w:w="686" w:type="dxa"/>
                  <w:tcBorders>
                    <w:tl2br w:val="nil"/>
                    <w:tr2bl w:val="nil"/>
                  </w:tcBorders>
                  <w:vAlign w:val="center"/>
                </w:tcPr>
                <w:p>
                  <w:pPr>
                    <w:spacing w:line="240" w:lineRule="auto"/>
                    <w:ind w:firstLine="0" w:firstLineChars="0"/>
                    <w:jc w:val="center"/>
                    <w:rPr>
                      <w:color w:val="auto"/>
                      <w:sz w:val="21"/>
                    </w:rPr>
                  </w:pPr>
                  <w:r>
                    <w:rPr>
                      <w:rFonts w:hint="eastAsia"/>
                      <w:color w:val="auto"/>
                      <w:sz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80" w:type="dxa"/>
                  <w:vMerge w:val="restart"/>
                  <w:tcBorders>
                    <w:tl2br w:val="nil"/>
                    <w:tr2bl w:val="nil"/>
                  </w:tcBorders>
                  <w:vAlign w:val="center"/>
                </w:tcPr>
                <w:p>
                  <w:pPr>
                    <w:spacing w:line="240" w:lineRule="auto"/>
                    <w:ind w:firstLine="0" w:firstLineChars="0"/>
                    <w:jc w:val="center"/>
                    <w:rPr>
                      <w:sz w:val="21"/>
                    </w:rPr>
                  </w:pPr>
                  <w:r>
                    <w:rPr>
                      <w:rFonts w:hint="eastAsia"/>
                      <w:sz w:val="21"/>
                    </w:rPr>
                    <w:t>环保工程</w:t>
                  </w:r>
                </w:p>
              </w:tc>
              <w:tc>
                <w:tcPr>
                  <w:tcW w:w="442" w:type="dxa"/>
                  <w:vMerge w:val="restart"/>
                  <w:tcBorders>
                    <w:tl2br w:val="nil"/>
                    <w:tr2bl w:val="nil"/>
                  </w:tcBorders>
                  <w:vAlign w:val="center"/>
                </w:tcPr>
                <w:p>
                  <w:pPr>
                    <w:spacing w:line="240" w:lineRule="auto"/>
                    <w:ind w:firstLine="0" w:firstLineChars="0"/>
                    <w:jc w:val="center"/>
                    <w:rPr>
                      <w:sz w:val="21"/>
                    </w:rPr>
                  </w:pPr>
                  <w:r>
                    <w:rPr>
                      <w:rFonts w:hint="eastAsia"/>
                      <w:sz w:val="21"/>
                    </w:rPr>
                    <w:t>废气</w:t>
                  </w:r>
                </w:p>
              </w:tc>
              <w:tc>
                <w:tcPr>
                  <w:tcW w:w="928" w:type="dxa"/>
                  <w:tcBorders>
                    <w:tl2br w:val="nil"/>
                    <w:tr2bl w:val="nil"/>
                  </w:tcBorders>
                  <w:vAlign w:val="center"/>
                </w:tcPr>
                <w:p>
                  <w:pPr>
                    <w:spacing w:line="240" w:lineRule="auto"/>
                    <w:ind w:firstLine="0" w:firstLineChars="0"/>
                    <w:jc w:val="center"/>
                    <w:rPr>
                      <w:sz w:val="21"/>
                    </w:rPr>
                  </w:pPr>
                  <w:r>
                    <w:rPr>
                      <w:rFonts w:hint="eastAsia"/>
                      <w:sz w:val="21"/>
                    </w:rPr>
                    <w:t>卸料</w:t>
                  </w:r>
                </w:p>
                <w:p>
                  <w:pPr>
                    <w:spacing w:line="240" w:lineRule="auto"/>
                    <w:ind w:firstLine="0" w:firstLineChars="0"/>
                    <w:jc w:val="center"/>
                    <w:rPr>
                      <w:sz w:val="21"/>
                    </w:rPr>
                  </w:pPr>
                  <w:r>
                    <w:rPr>
                      <w:rFonts w:hint="eastAsia"/>
                      <w:sz w:val="21"/>
                    </w:rPr>
                    <w:t>扬尘</w:t>
                  </w:r>
                </w:p>
              </w:tc>
              <w:tc>
                <w:tcPr>
                  <w:tcW w:w="5185" w:type="dxa"/>
                  <w:tcBorders>
                    <w:tl2br w:val="nil"/>
                    <w:tr2bl w:val="nil"/>
                  </w:tcBorders>
                  <w:vAlign w:val="center"/>
                </w:tcPr>
                <w:p>
                  <w:pPr>
                    <w:spacing w:line="240" w:lineRule="auto"/>
                    <w:ind w:firstLine="0" w:firstLineChars="0"/>
                    <w:rPr>
                      <w:sz w:val="21"/>
                    </w:rPr>
                  </w:pPr>
                  <w:r>
                    <w:rPr>
                      <w:rFonts w:hint="eastAsia"/>
                      <w:sz w:val="21"/>
                    </w:rPr>
                    <w:t>废旧特种金属卸料在封闭式车间内进行，废旧特种金属落料时，离地面高度不得大于0.3m，废旧特种金属堆放高度大于3m时，不得继续堆料，需另起堆料点；车间定期清扫。厂区西北角设扬尘实时在线监测设备。</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vMerge w:val="continue"/>
                  <w:tcBorders>
                    <w:tl2br w:val="nil"/>
                    <w:tr2bl w:val="nil"/>
                  </w:tcBorders>
                  <w:vAlign w:val="center"/>
                </w:tcPr>
                <w:p>
                  <w:pPr>
                    <w:spacing w:line="240" w:lineRule="auto"/>
                    <w:ind w:firstLine="0" w:firstLineChars="0"/>
                    <w:jc w:val="center"/>
                    <w:rPr>
                      <w:sz w:val="21"/>
                    </w:rPr>
                  </w:pPr>
                </w:p>
              </w:tc>
              <w:tc>
                <w:tcPr>
                  <w:tcW w:w="442" w:type="dxa"/>
                  <w:vMerge w:val="continue"/>
                  <w:tcBorders>
                    <w:tl2br w:val="nil"/>
                    <w:tr2bl w:val="nil"/>
                  </w:tcBorders>
                  <w:vAlign w:val="center"/>
                </w:tcPr>
                <w:p>
                  <w:pPr>
                    <w:spacing w:line="240" w:lineRule="auto"/>
                    <w:ind w:firstLine="0" w:firstLineChars="0"/>
                    <w:jc w:val="center"/>
                    <w:rPr>
                      <w:sz w:val="21"/>
                    </w:rPr>
                  </w:pPr>
                </w:p>
              </w:tc>
              <w:tc>
                <w:tcPr>
                  <w:tcW w:w="928" w:type="dxa"/>
                  <w:tcBorders>
                    <w:tl2br w:val="nil"/>
                    <w:tr2bl w:val="nil"/>
                  </w:tcBorders>
                  <w:vAlign w:val="center"/>
                </w:tcPr>
                <w:p>
                  <w:pPr>
                    <w:spacing w:line="240" w:lineRule="auto"/>
                    <w:ind w:firstLine="0" w:firstLineChars="0"/>
                    <w:jc w:val="center"/>
                    <w:rPr>
                      <w:sz w:val="21"/>
                    </w:rPr>
                  </w:pPr>
                  <w:r>
                    <w:rPr>
                      <w:rFonts w:hint="eastAsia"/>
                      <w:sz w:val="21"/>
                    </w:rPr>
                    <w:t>剪切</w:t>
                  </w:r>
                </w:p>
                <w:p>
                  <w:pPr>
                    <w:spacing w:line="240" w:lineRule="auto"/>
                    <w:ind w:firstLine="0" w:firstLineChars="0"/>
                    <w:jc w:val="center"/>
                    <w:rPr>
                      <w:sz w:val="21"/>
                    </w:rPr>
                  </w:pPr>
                  <w:r>
                    <w:rPr>
                      <w:rFonts w:hint="eastAsia"/>
                      <w:sz w:val="21"/>
                    </w:rPr>
                    <w:t>粉尘</w:t>
                  </w:r>
                </w:p>
              </w:tc>
              <w:tc>
                <w:tcPr>
                  <w:tcW w:w="5185" w:type="dxa"/>
                  <w:tcBorders>
                    <w:tl2br w:val="nil"/>
                    <w:tr2bl w:val="nil"/>
                  </w:tcBorders>
                  <w:vAlign w:val="center"/>
                </w:tcPr>
                <w:p>
                  <w:pPr>
                    <w:spacing w:line="240" w:lineRule="auto"/>
                    <w:ind w:firstLine="0" w:firstLineChars="0"/>
                    <w:rPr>
                      <w:sz w:val="21"/>
                    </w:rPr>
                  </w:pPr>
                  <w:r>
                    <w:rPr>
                      <w:rFonts w:hint="eastAsia"/>
                      <w:sz w:val="21"/>
                    </w:rPr>
                    <w:t>废旧特种金属剪切在封闭式车间内进行，车间定期清扫。</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vMerge w:val="continue"/>
                  <w:tcBorders>
                    <w:tl2br w:val="nil"/>
                    <w:tr2bl w:val="nil"/>
                  </w:tcBorders>
                  <w:vAlign w:val="center"/>
                </w:tcPr>
                <w:p>
                  <w:pPr>
                    <w:spacing w:line="240" w:lineRule="auto"/>
                    <w:ind w:firstLine="0" w:firstLineChars="0"/>
                    <w:jc w:val="center"/>
                    <w:rPr>
                      <w:sz w:val="21"/>
                    </w:rPr>
                  </w:pPr>
                </w:p>
              </w:tc>
              <w:tc>
                <w:tcPr>
                  <w:tcW w:w="442" w:type="dxa"/>
                  <w:vMerge w:val="continue"/>
                  <w:tcBorders>
                    <w:tl2br w:val="nil"/>
                    <w:tr2bl w:val="nil"/>
                  </w:tcBorders>
                  <w:vAlign w:val="center"/>
                </w:tcPr>
                <w:p>
                  <w:pPr>
                    <w:spacing w:line="240" w:lineRule="auto"/>
                    <w:ind w:firstLine="0" w:firstLineChars="0"/>
                    <w:jc w:val="center"/>
                    <w:rPr>
                      <w:sz w:val="21"/>
                    </w:rPr>
                  </w:pPr>
                </w:p>
              </w:tc>
              <w:tc>
                <w:tcPr>
                  <w:tcW w:w="928" w:type="dxa"/>
                  <w:tcBorders>
                    <w:tl2br w:val="nil"/>
                    <w:tr2bl w:val="nil"/>
                  </w:tcBorders>
                  <w:vAlign w:val="center"/>
                </w:tcPr>
                <w:p>
                  <w:pPr>
                    <w:spacing w:line="240" w:lineRule="auto"/>
                    <w:ind w:firstLine="0" w:firstLineChars="0"/>
                    <w:jc w:val="center"/>
                    <w:rPr>
                      <w:sz w:val="21"/>
                    </w:rPr>
                  </w:pPr>
                  <w:r>
                    <w:rPr>
                      <w:rFonts w:hint="eastAsia"/>
                      <w:sz w:val="21"/>
                    </w:rPr>
                    <w:t>转运</w:t>
                  </w:r>
                </w:p>
                <w:p>
                  <w:pPr>
                    <w:spacing w:line="240" w:lineRule="auto"/>
                    <w:ind w:firstLine="0" w:firstLineChars="0"/>
                    <w:jc w:val="center"/>
                    <w:rPr>
                      <w:sz w:val="21"/>
                    </w:rPr>
                  </w:pPr>
                  <w:r>
                    <w:rPr>
                      <w:rFonts w:hint="eastAsia"/>
                      <w:sz w:val="21"/>
                    </w:rPr>
                    <w:t>扬尘</w:t>
                  </w:r>
                </w:p>
              </w:tc>
              <w:tc>
                <w:tcPr>
                  <w:tcW w:w="5185" w:type="dxa"/>
                  <w:tcBorders>
                    <w:tl2br w:val="nil"/>
                    <w:tr2bl w:val="nil"/>
                  </w:tcBorders>
                  <w:vAlign w:val="center"/>
                </w:tcPr>
                <w:p>
                  <w:pPr>
                    <w:spacing w:line="240" w:lineRule="auto"/>
                    <w:ind w:firstLine="0" w:firstLineChars="0"/>
                    <w:rPr>
                      <w:sz w:val="21"/>
                    </w:rPr>
                  </w:pPr>
                  <w:r>
                    <w:rPr>
                      <w:rFonts w:hint="eastAsia"/>
                      <w:sz w:val="21"/>
                    </w:rPr>
                    <w:t>废旧特种金属表面含废润滑油、落料时离地面高度不得大于0.3m。</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vMerge w:val="continue"/>
                  <w:tcBorders>
                    <w:tl2br w:val="nil"/>
                    <w:tr2bl w:val="nil"/>
                  </w:tcBorders>
                  <w:vAlign w:val="center"/>
                </w:tcPr>
                <w:p>
                  <w:pPr>
                    <w:spacing w:line="240" w:lineRule="auto"/>
                    <w:ind w:firstLine="0" w:firstLineChars="0"/>
                    <w:jc w:val="center"/>
                    <w:rPr>
                      <w:sz w:val="21"/>
                    </w:rPr>
                  </w:pPr>
                </w:p>
              </w:tc>
              <w:tc>
                <w:tcPr>
                  <w:tcW w:w="442" w:type="dxa"/>
                  <w:vMerge w:val="continue"/>
                  <w:tcBorders>
                    <w:tl2br w:val="nil"/>
                    <w:tr2bl w:val="nil"/>
                  </w:tcBorders>
                  <w:vAlign w:val="center"/>
                </w:tcPr>
                <w:p>
                  <w:pPr>
                    <w:spacing w:line="240" w:lineRule="auto"/>
                    <w:ind w:firstLine="0" w:firstLineChars="0"/>
                    <w:jc w:val="center"/>
                    <w:rPr>
                      <w:sz w:val="21"/>
                    </w:rPr>
                  </w:pPr>
                </w:p>
              </w:tc>
              <w:tc>
                <w:tcPr>
                  <w:tcW w:w="928" w:type="dxa"/>
                  <w:tcBorders>
                    <w:tl2br w:val="nil"/>
                    <w:tr2bl w:val="nil"/>
                  </w:tcBorders>
                  <w:vAlign w:val="center"/>
                </w:tcPr>
                <w:p>
                  <w:pPr>
                    <w:spacing w:line="240" w:lineRule="auto"/>
                    <w:ind w:firstLine="0" w:firstLineChars="0"/>
                    <w:jc w:val="center"/>
                    <w:rPr>
                      <w:sz w:val="21"/>
                    </w:rPr>
                  </w:pPr>
                  <w:r>
                    <w:rPr>
                      <w:rFonts w:hint="eastAsia"/>
                      <w:sz w:val="21"/>
                    </w:rPr>
                    <w:t>食堂</w:t>
                  </w:r>
                </w:p>
                <w:p>
                  <w:pPr>
                    <w:spacing w:line="240" w:lineRule="auto"/>
                    <w:ind w:firstLine="0" w:firstLineChars="0"/>
                    <w:jc w:val="center"/>
                    <w:rPr>
                      <w:sz w:val="21"/>
                    </w:rPr>
                  </w:pPr>
                  <w:r>
                    <w:rPr>
                      <w:rFonts w:hint="eastAsia"/>
                      <w:sz w:val="21"/>
                    </w:rPr>
                    <w:t>油烟</w:t>
                  </w:r>
                </w:p>
              </w:tc>
              <w:tc>
                <w:tcPr>
                  <w:tcW w:w="5185" w:type="dxa"/>
                  <w:tcBorders>
                    <w:tl2br w:val="nil"/>
                    <w:tr2bl w:val="nil"/>
                  </w:tcBorders>
                  <w:vAlign w:val="center"/>
                </w:tcPr>
                <w:p>
                  <w:pPr>
                    <w:spacing w:line="240" w:lineRule="auto"/>
                    <w:ind w:firstLine="0" w:firstLineChars="0"/>
                    <w:rPr>
                      <w:sz w:val="21"/>
                    </w:rPr>
                  </w:pPr>
                  <w:r>
                    <w:rPr>
                      <w:rFonts w:hint="eastAsia"/>
                      <w:sz w:val="21"/>
                    </w:rPr>
                    <w:t>员工就餐依托盛泰源食堂，盛泰源食堂油烟现配套有油烟净化装置，排气筒高8m。</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780" w:type="dxa"/>
                  <w:vMerge w:val="continue"/>
                  <w:tcBorders>
                    <w:tl2br w:val="nil"/>
                    <w:tr2bl w:val="nil"/>
                  </w:tcBorders>
                  <w:vAlign w:val="center"/>
                </w:tcPr>
                <w:p>
                  <w:pPr>
                    <w:spacing w:line="240" w:lineRule="auto"/>
                    <w:ind w:firstLine="0" w:firstLineChars="0"/>
                    <w:jc w:val="center"/>
                    <w:rPr>
                      <w:sz w:val="21"/>
                    </w:rPr>
                  </w:pPr>
                </w:p>
              </w:tc>
              <w:tc>
                <w:tcPr>
                  <w:tcW w:w="442" w:type="dxa"/>
                  <w:tcBorders>
                    <w:tl2br w:val="nil"/>
                    <w:tr2bl w:val="nil"/>
                  </w:tcBorders>
                  <w:vAlign w:val="center"/>
                </w:tcPr>
                <w:p>
                  <w:pPr>
                    <w:spacing w:line="240" w:lineRule="auto"/>
                    <w:ind w:firstLine="0" w:firstLineChars="0"/>
                    <w:jc w:val="center"/>
                    <w:rPr>
                      <w:sz w:val="21"/>
                    </w:rPr>
                  </w:pPr>
                  <w:r>
                    <w:rPr>
                      <w:rFonts w:hint="eastAsia"/>
                      <w:sz w:val="21"/>
                    </w:rPr>
                    <w:t>废水</w:t>
                  </w:r>
                </w:p>
              </w:tc>
              <w:tc>
                <w:tcPr>
                  <w:tcW w:w="928" w:type="dxa"/>
                  <w:tcBorders>
                    <w:tl2br w:val="nil"/>
                    <w:tr2bl w:val="nil"/>
                  </w:tcBorders>
                  <w:vAlign w:val="center"/>
                </w:tcPr>
                <w:p>
                  <w:pPr>
                    <w:spacing w:line="240" w:lineRule="auto"/>
                    <w:ind w:firstLine="0" w:firstLineChars="0"/>
                    <w:jc w:val="center"/>
                    <w:rPr>
                      <w:sz w:val="21"/>
                    </w:rPr>
                  </w:pPr>
                  <w:r>
                    <w:rPr>
                      <w:rFonts w:hint="eastAsia"/>
                      <w:sz w:val="21"/>
                    </w:rPr>
                    <w:t>生活</w:t>
                  </w:r>
                </w:p>
                <w:p>
                  <w:pPr>
                    <w:spacing w:line="240" w:lineRule="auto"/>
                    <w:ind w:firstLine="0" w:firstLineChars="0"/>
                    <w:jc w:val="center"/>
                    <w:rPr>
                      <w:sz w:val="21"/>
                    </w:rPr>
                  </w:pPr>
                  <w:r>
                    <w:rPr>
                      <w:rFonts w:hint="eastAsia"/>
                      <w:sz w:val="21"/>
                    </w:rPr>
                    <w:t>废水</w:t>
                  </w:r>
                </w:p>
              </w:tc>
              <w:tc>
                <w:tcPr>
                  <w:tcW w:w="5185" w:type="dxa"/>
                  <w:tcBorders>
                    <w:tl2br w:val="nil"/>
                    <w:tr2bl w:val="nil"/>
                  </w:tcBorders>
                  <w:vAlign w:val="center"/>
                </w:tcPr>
                <w:p>
                  <w:pPr>
                    <w:spacing w:line="240" w:lineRule="auto"/>
                    <w:ind w:firstLine="0" w:firstLineChars="0"/>
                    <w:rPr>
                      <w:sz w:val="21"/>
                    </w:rPr>
                  </w:pPr>
                  <w:r>
                    <w:rPr>
                      <w:rFonts w:hint="eastAsia"/>
                      <w:sz w:val="21"/>
                    </w:rPr>
                    <w:t>依托东方恒略污水处理站，处理后用于高炉冲渣。</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vMerge w:val="continue"/>
                  <w:tcBorders>
                    <w:tl2br w:val="nil"/>
                    <w:tr2bl w:val="nil"/>
                  </w:tcBorders>
                  <w:vAlign w:val="center"/>
                </w:tcPr>
                <w:p>
                  <w:pPr>
                    <w:spacing w:line="240" w:lineRule="auto"/>
                    <w:ind w:firstLine="0" w:firstLineChars="0"/>
                    <w:jc w:val="center"/>
                    <w:rPr>
                      <w:sz w:val="21"/>
                    </w:rPr>
                  </w:pPr>
                </w:p>
              </w:tc>
              <w:tc>
                <w:tcPr>
                  <w:tcW w:w="442" w:type="dxa"/>
                  <w:vMerge w:val="restart"/>
                  <w:tcBorders>
                    <w:tl2br w:val="nil"/>
                    <w:tr2bl w:val="nil"/>
                  </w:tcBorders>
                  <w:vAlign w:val="center"/>
                </w:tcPr>
                <w:p>
                  <w:pPr>
                    <w:spacing w:line="240" w:lineRule="auto"/>
                    <w:ind w:firstLine="0" w:firstLineChars="0"/>
                    <w:jc w:val="center"/>
                    <w:rPr>
                      <w:sz w:val="21"/>
                    </w:rPr>
                  </w:pPr>
                  <w:r>
                    <w:rPr>
                      <w:rFonts w:hint="eastAsia"/>
                      <w:sz w:val="21"/>
                    </w:rPr>
                    <w:t>固废</w:t>
                  </w:r>
                </w:p>
              </w:tc>
              <w:tc>
                <w:tcPr>
                  <w:tcW w:w="928" w:type="dxa"/>
                  <w:tcBorders>
                    <w:tl2br w:val="nil"/>
                    <w:tr2bl w:val="nil"/>
                  </w:tcBorders>
                  <w:vAlign w:val="center"/>
                </w:tcPr>
                <w:p>
                  <w:pPr>
                    <w:spacing w:line="240" w:lineRule="auto"/>
                    <w:ind w:firstLine="0" w:firstLineChars="0"/>
                    <w:jc w:val="center"/>
                    <w:rPr>
                      <w:sz w:val="21"/>
                    </w:rPr>
                  </w:pPr>
                  <w:r>
                    <w:rPr>
                      <w:rFonts w:hint="eastAsia"/>
                      <w:sz w:val="21"/>
                    </w:rPr>
                    <w:t>生活</w:t>
                  </w:r>
                </w:p>
                <w:p>
                  <w:pPr>
                    <w:spacing w:line="240" w:lineRule="auto"/>
                    <w:ind w:firstLine="0" w:firstLineChars="0"/>
                    <w:jc w:val="center"/>
                    <w:rPr>
                      <w:sz w:val="21"/>
                    </w:rPr>
                  </w:pPr>
                  <w:r>
                    <w:rPr>
                      <w:rFonts w:hint="eastAsia"/>
                      <w:sz w:val="21"/>
                    </w:rPr>
                    <w:t>垃圾</w:t>
                  </w:r>
                </w:p>
              </w:tc>
              <w:tc>
                <w:tcPr>
                  <w:tcW w:w="5185" w:type="dxa"/>
                  <w:tcBorders>
                    <w:tl2br w:val="nil"/>
                    <w:tr2bl w:val="nil"/>
                  </w:tcBorders>
                  <w:vAlign w:val="center"/>
                </w:tcPr>
                <w:p>
                  <w:pPr>
                    <w:spacing w:line="240" w:lineRule="auto"/>
                    <w:ind w:firstLine="0" w:firstLineChars="0"/>
                    <w:rPr>
                      <w:sz w:val="21"/>
                    </w:rPr>
                  </w:pPr>
                  <w:r>
                    <w:rPr>
                      <w:rFonts w:hint="eastAsia"/>
                      <w:sz w:val="21"/>
                    </w:rPr>
                    <w:t>设生活垃圾桶，生活垃圾经收集后送至当地政府指定的地点统一处理。</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vMerge w:val="continue"/>
                  <w:tcBorders>
                    <w:tl2br w:val="nil"/>
                    <w:tr2bl w:val="nil"/>
                  </w:tcBorders>
                  <w:vAlign w:val="center"/>
                </w:tcPr>
                <w:p>
                  <w:pPr>
                    <w:spacing w:line="240" w:lineRule="auto"/>
                    <w:ind w:firstLine="0" w:firstLineChars="0"/>
                    <w:jc w:val="center"/>
                    <w:rPr>
                      <w:sz w:val="21"/>
                    </w:rPr>
                  </w:pPr>
                </w:p>
              </w:tc>
              <w:tc>
                <w:tcPr>
                  <w:tcW w:w="442" w:type="dxa"/>
                  <w:vMerge w:val="continue"/>
                  <w:tcBorders>
                    <w:tl2br w:val="nil"/>
                    <w:tr2bl w:val="nil"/>
                  </w:tcBorders>
                  <w:vAlign w:val="center"/>
                </w:tcPr>
                <w:p>
                  <w:pPr>
                    <w:spacing w:line="240" w:lineRule="auto"/>
                    <w:ind w:firstLine="0" w:firstLineChars="0"/>
                    <w:jc w:val="center"/>
                    <w:rPr>
                      <w:sz w:val="21"/>
                    </w:rPr>
                  </w:pPr>
                </w:p>
              </w:tc>
              <w:tc>
                <w:tcPr>
                  <w:tcW w:w="928" w:type="dxa"/>
                  <w:tcBorders>
                    <w:tl2br w:val="nil"/>
                    <w:tr2bl w:val="nil"/>
                  </w:tcBorders>
                  <w:vAlign w:val="center"/>
                </w:tcPr>
                <w:p>
                  <w:pPr>
                    <w:spacing w:line="240" w:lineRule="auto"/>
                    <w:ind w:firstLine="0" w:firstLineChars="0"/>
                    <w:jc w:val="center"/>
                    <w:rPr>
                      <w:sz w:val="21"/>
                    </w:rPr>
                  </w:pPr>
                  <w:r>
                    <w:rPr>
                      <w:rFonts w:hint="eastAsia"/>
                      <w:sz w:val="21"/>
                    </w:rPr>
                    <w:t>废机油、废油桶、废手套、废棉纱</w:t>
                  </w:r>
                </w:p>
              </w:tc>
              <w:tc>
                <w:tcPr>
                  <w:tcW w:w="5185" w:type="dxa"/>
                  <w:tcBorders>
                    <w:tl2br w:val="nil"/>
                    <w:tr2bl w:val="nil"/>
                  </w:tcBorders>
                  <w:vAlign w:val="center"/>
                </w:tcPr>
                <w:p>
                  <w:pPr>
                    <w:spacing w:line="240" w:lineRule="auto"/>
                    <w:ind w:firstLine="0" w:firstLineChars="0"/>
                    <w:rPr>
                      <w:sz w:val="21"/>
                    </w:rPr>
                  </w:pPr>
                  <w:r>
                    <w:rPr>
                      <w:rFonts w:hint="eastAsia"/>
                      <w:sz w:val="21"/>
                    </w:rPr>
                    <w:t>暂存1</w:t>
                  </w:r>
                  <w:r>
                    <w:rPr>
                      <w:rFonts w:hint="eastAsia"/>
                      <w:sz w:val="21"/>
                      <w:lang w:val="en-US" w:eastAsia="zh-CN"/>
                    </w:rPr>
                    <w:t>5</w:t>
                  </w:r>
                  <w:r>
                    <w:rPr>
                      <w:rFonts w:hint="eastAsia"/>
                      <w:sz w:val="21"/>
                    </w:rPr>
                    <w:t>m</w:t>
                  </w:r>
                  <w:r>
                    <w:rPr>
                      <w:rFonts w:hint="eastAsia"/>
                      <w:sz w:val="21"/>
                      <w:vertAlign w:val="superscript"/>
                    </w:rPr>
                    <w:t>2</w:t>
                  </w:r>
                  <w:r>
                    <w:rPr>
                      <w:rFonts w:hint="eastAsia"/>
                      <w:sz w:val="21"/>
                    </w:rPr>
                    <w:t>危废暂存间，定期交由有资质单位处置。</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0" w:type="dxa"/>
                  <w:vMerge w:val="continue"/>
                  <w:tcBorders>
                    <w:tl2br w:val="nil"/>
                    <w:tr2bl w:val="nil"/>
                  </w:tcBorders>
                  <w:vAlign w:val="center"/>
                </w:tcPr>
                <w:p>
                  <w:pPr>
                    <w:spacing w:line="240" w:lineRule="auto"/>
                    <w:ind w:firstLine="0" w:firstLineChars="0"/>
                    <w:jc w:val="center"/>
                    <w:rPr>
                      <w:sz w:val="21"/>
                    </w:rPr>
                  </w:pPr>
                </w:p>
              </w:tc>
              <w:tc>
                <w:tcPr>
                  <w:tcW w:w="1370" w:type="dxa"/>
                  <w:gridSpan w:val="2"/>
                  <w:tcBorders>
                    <w:tl2br w:val="nil"/>
                    <w:tr2bl w:val="nil"/>
                  </w:tcBorders>
                  <w:vAlign w:val="center"/>
                </w:tcPr>
                <w:p>
                  <w:pPr>
                    <w:spacing w:line="240" w:lineRule="auto"/>
                    <w:ind w:firstLine="0" w:firstLineChars="0"/>
                    <w:jc w:val="center"/>
                    <w:rPr>
                      <w:sz w:val="21"/>
                    </w:rPr>
                  </w:pPr>
                  <w:r>
                    <w:rPr>
                      <w:rFonts w:hint="eastAsia"/>
                      <w:sz w:val="21"/>
                    </w:rPr>
                    <w:t>噪声</w:t>
                  </w:r>
                </w:p>
              </w:tc>
              <w:tc>
                <w:tcPr>
                  <w:tcW w:w="5185" w:type="dxa"/>
                  <w:tcBorders>
                    <w:tl2br w:val="nil"/>
                    <w:tr2bl w:val="nil"/>
                  </w:tcBorders>
                  <w:vAlign w:val="center"/>
                </w:tcPr>
                <w:p>
                  <w:pPr>
                    <w:spacing w:line="240" w:lineRule="auto"/>
                    <w:ind w:firstLine="0" w:firstLineChars="0"/>
                    <w:rPr>
                      <w:sz w:val="21"/>
                    </w:rPr>
                  </w:pPr>
                  <w:r>
                    <w:rPr>
                      <w:rFonts w:hint="eastAsia"/>
                      <w:sz w:val="21"/>
                    </w:rPr>
                    <w:t>选用符合国家标准的低噪声设备，设备减振、并定期保养、检修。厂区西北角设噪声实时在线监测设备。</w:t>
                  </w:r>
                </w:p>
              </w:tc>
              <w:tc>
                <w:tcPr>
                  <w:tcW w:w="686" w:type="dxa"/>
                  <w:tcBorders>
                    <w:tl2br w:val="nil"/>
                    <w:tr2bl w:val="nil"/>
                  </w:tcBorders>
                  <w:vAlign w:val="center"/>
                </w:tcPr>
                <w:p>
                  <w:pPr>
                    <w:spacing w:line="240" w:lineRule="auto"/>
                    <w:ind w:firstLine="0" w:firstLineChars="0"/>
                    <w:jc w:val="center"/>
                    <w:rPr>
                      <w:sz w:val="21"/>
                    </w:rPr>
                  </w:pPr>
                  <w:r>
                    <w:rPr>
                      <w:rFonts w:hint="eastAsia"/>
                      <w:sz w:val="21"/>
                    </w:rPr>
                    <w:t>新建</w:t>
                  </w:r>
                </w:p>
              </w:tc>
            </w:tr>
          </w:tbl>
          <w:p>
            <w:pPr>
              <w:pStyle w:val="4"/>
            </w:pPr>
            <w:r>
              <w:rPr>
                <w:rFonts w:hint="eastAsia"/>
              </w:rPr>
              <w:t>2.2依托可行性分析</w:t>
            </w:r>
          </w:p>
          <w:p>
            <w:pPr>
              <w:ind w:firstLine="480"/>
            </w:pPr>
            <w:r>
              <w:rPr>
                <w:rFonts w:hint="eastAsia"/>
              </w:rPr>
              <w:t>本项目生产车间及其附属设施均依托东方恒略或盛泰源，表2-2对本项目依托可行性进行分析。</w:t>
            </w:r>
          </w:p>
          <w:p>
            <w:pPr>
              <w:spacing w:line="240" w:lineRule="auto"/>
              <w:ind w:firstLine="0" w:firstLineChars="0"/>
              <w:jc w:val="center"/>
            </w:pPr>
            <w:r>
              <w:rPr>
                <w:rFonts w:hint="eastAsia"/>
                <w:b/>
                <w:bCs/>
                <w:sz w:val="21"/>
                <w:szCs w:val="21"/>
              </w:rPr>
              <w:t>表2-2  依托工程可行性分析</w:t>
            </w:r>
          </w:p>
          <w:tbl>
            <w:tblPr>
              <w:tblStyle w:val="3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674"/>
              <w:gridCol w:w="3111"/>
              <w:gridCol w:w="2783"/>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1" w:type="dxa"/>
                  <w:gridSpan w:val="2"/>
                  <w:tcBorders>
                    <w:bottom w:val="single" w:color="auto" w:sz="12" w:space="0"/>
                  </w:tcBorders>
                  <w:vAlign w:val="center"/>
                </w:tcPr>
                <w:p>
                  <w:pPr>
                    <w:keepNext/>
                    <w:keepLines/>
                    <w:spacing w:line="240" w:lineRule="auto"/>
                    <w:ind w:firstLine="0" w:firstLineChars="0"/>
                    <w:jc w:val="center"/>
                    <w:rPr>
                      <w:b/>
                      <w:bCs/>
                      <w:sz w:val="21"/>
                    </w:rPr>
                  </w:pPr>
                  <w:r>
                    <w:rPr>
                      <w:rFonts w:hint="eastAsia"/>
                      <w:b/>
                      <w:bCs/>
                      <w:sz w:val="21"/>
                    </w:rPr>
                    <w:t>依托工程内容</w:t>
                  </w:r>
                </w:p>
              </w:tc>
              <w:tc>
                <w:tcPr>
                  <w:tcW w:w="3111" w:type="dxa"/>
                  <w:tcBorders>
                    <w:bottom w:val="single" w:color="auto" w:sz="12" w:space="0"/>
                  </w:tcBorders>
                  <w:vAlign w:val="center"/>
                </w:tcPr>
                <w:p>
                  <w:pPr>
                    <w:keepNext/>
                    <w:keepLines/>
                    <w:spacing w:line="240" w:lineRule="auto"/>
                    <w:ind w:firstLine="0" w:firstLineChars="0"/>
                    <w:jc w:val="center"/>
                    <w:rPr>
                      <w:b/>
                      <w:bCs/>
                      <w:sz w:val="21"/>
                    </w:rPr>
                  </w:pPr>
                  <w:r>
                    <w:rPr>
                      <w:rFonts w:hint="eastAsia"/>
                      <w:b/>
                      <w:bCs/>
                      <w:sz w:val="21"/>
                    </w:rPr>
                    <w:t>依托工程基本情况</w:t>
                  </w:r>
                </w:p>
              </w:tc>
              <w:tc>
                <w:tcPr>
                  <w:tcW w:w="2783" w:type="dxa"/>
                  <w:tcBorders>
                    <w:bottom w:val="single" w:color="auto" w:sz="12" w:space="0"/>
                  </w:tcBorders>
                  <w:vAlign w:val="center"/>
                </w:tcPr>
                <w:p>
                  <w:pPr>
                    <w:keepNext/>
                    <w:keepLines/>
                    <w:spacing w:line="240" w:lineRule="auto"/>
                    <w:ind w:firstLine="0" w:firstLineChars="0"/>
                    <w:jc w:val="center"/>
                    <w:rPr>
                      <w:b/>
                      <w:bCs/>
                      <w:sz w:val="21"/>
                    </w:rPr>
                  </w:pPr>
                  <w:r>
                    <w:rPr>
                      <w:rFonts w:hint="eastAsia"/>
                      <w:b/>
                      <w:bCs/>
                      <w:sz w:val="21"/>
                    </w:rPr>
                    <w:t>本项目情况</w:t>
                  </w:r>
                </w:p>
              </w:tc>
              <w:tc>
                <w:tcPr>
                  <w:tcW w:w="886" w:type="dxa"/>
                  <w:tcBorders>
                    <w:bottom w:val="single" w:color="auto" w:sz="12" w:space="0"/>
                  </w:tcBorders>
                  <w:vAlign w:val="center"/>
                </w:tcPr>
                <w:p>
                  <w:pPr>
                    <w:keepNext/>
                    <w:keepLines/>
                    <w:spacing w:line="240" w:lineRule="auto"/>
                    <w:ind w:firstLine="0" w:firstLineChars="0"/>
                    <w:jc w:val="center"/>
                    <w:rPr>
                      <w:b/>
                      <w:bCs/>
                      <w:sz w:val="21"/>
                    </w:rPr>
                  </w:pPr>
                  <w:r>
                    <w:rPr>
                      <w:rFonts w:hint="eastAsia"/>
                      <w:b/>
                      <w:bCs/>
                      <w:sz w:val="21"/>
                    </w:rPr>
                    <w:t>是否可依托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1" w:type="dxa"/>
                  <w:gridSpan w:val="2"/>
                  <w:tcBorders>
                    <w:top w:val="single" w:color="auto" w:sz="12" w:space="0"/>
                    <w:tl2br w:val="nil"/>
                    <w:tr2bl w:val="nil"/>
                  </w:tcBorders>
                  <w:vAlign w:val="center"/>
                </w:tcPr>
                <w:p>
                  <w:pPr>
                    <w:keepNext/>
                    <w:keepLines/>
                    <w:spacing w:line="240" w:lineRule="auto"/>
                    <w:ind w:firstLine="0" w:firstLineChars="0"/>
                    <w:jc w:val="center"/>
                    <w:rPr>
                      <w:sz w:val="21"/>
                    </w:rPr>
                  </w:pPr>
                  <w:r>
                    <w:rPr>
                      <w:rFonts w:hint="eastAsia"/>
                      <w:sz w:val="21"/>
                    </w:rPr>
                    <w:t>主体工程</w:t>
                  </w:r>
                </w:p>
              </w:tc>
              <w:tc>
                <w:tcPr>
                  <w:tcW w:w="3111" w:type="dxa"/>
                  <w:tcBorders>
                    <w:top w:val="single" w:color="auto" w:sz="12" w:space="0"/>
                    <w:tl2br w:val="nil"/>
                    <w:tr2bl w:val="nil"/>
                  </w:tcBorders>
                  <w:vAlign w:val="center"/>
                </w:tcPr>
                <w:p>
                  <w:pPr>
                    <w:keepNext/>
                    <w:keepLines/>
                    <w:spacing w:line="240" w:lineRule="auto"/>
                    <w:ind w:firstLine="0" w:firstLineChars="0"/>
                    <w:rPr>
                      <w:sz w:val="21"/>
                    </w:rPr>
                  </w:pPr>
                  <w:r>
                    <w:rPr>
                      <w:rFonts w:hint="eastAsia"/>
                      <w:sz w:val="21"/>
                    </w:rPr>
                    <w:t>盛泰源厂区北侧闲置一座8350m</w:t>
                  </w:r>
                  <w:r>
                    <w:rPr>
                      <w:rFonts w:hint="eastAsia"/>
                      <w:sz w:val="21"/>
                      <w:vertAlign w:val="superscript"/>
                    </w:rPr>
                    <w:t>2</w:t>
                  </w:r>
                  <w:r>
                    <w:rPr>
                      <w:rFonts w:hint="eastAsia"/>
                      <w:sz w:val="21"/>
                    </w:rPr>
                    <w:t>半成品储存厂房。</w:t>
                  </w:r>
                </w:p>
              </w:tc>
              <w:tc>
                <w:tcPr>
                  <w:tcW w:w="2783" w:type="dxa"/>
                  <w:tcBorders>
                    <w:top w:val="single" w:color="auto" w:sz="12" w:space="0"/>
                    <w:tl2br w:val="nil"/>
                    <w:tr2bl w:val="nil"/>
                  </w:tcBorders>
                  <w:vAlign w:val="center"/>
                </w:tcPr>
                <w:p>
                  <w:pPr>
                    <w:keepNext/>
                    <w:keepLines/>
                    <w:spacing w:line="240" w:lineRule="auto"/>
                    <w:ind w:firstLine="0" w:firstLineChars="0"/>
                    <w:rPr>
                      <w:sz w:val="21"/>
                    </w:rPr>
                  </w:pPr>
                  <w:r>
                    <w:rPr>
                      <w:rFonts w:hint="eastAsia"/>
                      <w:sz w:val="21"/>
                    </w:rPr>
                    <w:t>根据《</w:t>
                  </w:r>
                  <w:r>
                    <w:rPr>
                      <w:rFonts w:hint="eastAsia" w:ascii="宋体" w:hAnsi="宋体" w:cs="宋体"/>
                      <w:kern w:val="0"/>
                      <w:sz w:val="21"/>
                      <w:szCs w:val="21"/>
                      <w:lang w:bidi="ar"/>
                    </w:rPr>
                    <w:t>废钢铁加工行业准入条件</w:t>
                  </w:r>
                  <w:r>
                    <w:rPr>
                      <w:rFonts w:hint="eastAsia"/>
                      <w:sz w:val="21"/>
                    </w:rPr>
                    <w:t>》租用作业场地硬化面积不少于5千平米。本项目拟租用盛泰源闲置的8350m</w:t>
                  </w:r>
                  <w:r>
                    <w:rPr>
                      <w:rFonts w:hint="eastAsia"/>
                      <w:sz w:val="21"/>
                      <w:vertAlign w:val="superscript"/>
                    </w:rPr>
                    <w:t>2</w:t>
                  </w:r>
                  <w:r>
                    <w:rPr>
                      <w:rFonts w:hint="eastAsia"/>
                      <w:sz w:val="21"/>
                    </w:rPr>
                    <w:t>半成品储存厂房，搭建年加工配送5万吨废旧特种金属生产线。</w:t>
                  </w:r>
                </w:p>
              </w:tc>
              <w:tc>
                <w:tcPr>
                  <w:tcW w:w="886" w:type="dxa"/>
                  <w:tcBorders>
                    <w:top w:val="single" w:color="auto" w:sz="12" w:space="0"/>
                    <w:tl2br w:val="nil"/>
                    <w:tr2bl w:val="nil"/>
                  </w:tcBorders>
                  <w:vAlign w:val="center"/>
                </w:tcPr>
                <w:p>
                  <w:pPr>
                    <w:keepNext/>
                    <w:keepLines/>
                    <w:spacing w:line="240" w:lineRule="auto"/>
                    <w:ind w:firstLine="0" w:firstLineChars="0"/>
                    <w:jc w:val="center"/>
                    <w:rPr>
                      <w:sz w:val="21"/>
                    </w:rPr>
                  </w:pPr>
                  <w:r>
                    <w:rPr>
                      <w:rFonts w:hint="eastAsia"/>
                      <w:sz w:val="21"/>
                    </w:rPr>
                    <w:t>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7" w:type="dxa"/>
                  <w:vMerge w:val="restart"/>
                  <w:tcBorders>
                    <w:tl2br w:val="nil"/>
                    <w:tr2bl w:val="nil"/>
                  </w:tcBorders>
                  <w:vAlign w:val="center"/>
                </w:tcPr>
                <w:p>
                  <w:pPr>
                    <w:keepNext/>
                    <w:keepLines/>
                    <w:spacing w:line="240" w:lineRule="auto"/>
                    <w:ind w:firstLine="0" w:firstLineChars="0"/>
                    <w:jc w:val="center"/>
                    <w:rPr>
                      <w:sz w:val="21"/>
                    </w:rPr>
                  </w:pPr>
                  <w:r>
                    <w:rPr>
                      <w:rFonts w:hint="eastAsia"/>
                      <w:sz w:val="21"/>
                    </w:rPr>
                    <w:t>辅助工程</w:t>
                  </w:r>
                </w:p>
              </w:tc>
              <w:tc>
                <w:tcPr>
                  <w:tcW w:w="674" w:type="dxa"/>
                  <w:tcBorders>
                    <w:tl2br w:val="nil"/>
                    <w:tr2bl w:val="nil"/>
                  </w:tcBorders>
                  <w:vAlign w:val="center"/>
                </w:tcPr>
                <w:p>
                  <w:pPr>
                    <w:spacing w:line="240" w:lineRule="auto"/>
                    <w:ind w:firstLine="0" w:firstLineChars="0"/>
                    <w:jc w:val="center"/>
                    <w:rPr>
                      <w:sz w:val="21"/>
                    </w:rPr>
                  </w:pPr>
                  <w:r>
                    <w:rPr>
                      <w:rFonts w:hint="eastAsia"/>
                      <w:sz w:val="21"/>
                    </w:rPr>
                    <w:t>办公室</w:t>
                  </w:r>
                </w:p>
              </w:tc>
              <w:tc>
                <w:tcPr>
                  <w:tcW w:w="3111" w:type="dxa"/>
                  <w:tcBorders>
                    <w:tl2br w:val="nil"/>
                    <w:tr2bl w:val="nil"/>
                  </w:tcBorders>
                  <w:vAlign w:val="center"/>
                </w:tcPr>
                <w:p>
                  <w:pPr>
                    <w:spacing w:line="240" w:lineRule="auto"/>
                    <w:ind w:firstLine="0" w:firstLineChars="0"/>
                    <w:rPr>
                      <w:sz w:val="21"/>
                    </w:rPr>
                  </w:pPr>
                  <w:r>
                    <w:rPr>
                      <w:rFonts w:hint="eastAsia"/>
                      <w:sz w:val="21"/>
                    </w:rPr>
                    <w:t>盛泰源办公楼位于厂区西侧，三层砖混结构，占地面积320m</w:t>
                  </w:r>
                  <w:r>
                    <w:rPr>
                      <w:rFonts w:hint="eastAsia"/>
                      <w:sz w:val="21"/>
                      <w:vertAlign w:val="superscript"/>
                    </w:rPr>
                    <w:t>2</w:t>
                  </w:r>
                  <w:r>
                    <w:rPr>
                      <w:rFonts w:hint="eastAsia"/>
                      <w:sz w:val="21"/>
                    </w:rPr>
                    <w:t>(40×8m)，建筑面积960m</w:t>
                  </w:r>
                  <w:r>
                    <w:rPr>
                      <w:rFonts w:hint="eastAsia"/>
                      <w:sz w:val="21"/>
                      <w:vertAlign w:val="superscript"/>
                    </w:rPr>
                    <w:t>2</w:t>
                  </w:r>
                  <w:r>
                    <w:rPr>
                      <w:rFonts w:hint="eastAsia"/>
                      <w:sz w:val="21"/>
                    </w:rPr>
                    <w:t>。据了解，多间办公室为闲置状态。</w:t>
                  </w:r>
                </w:p>
              </w:tc>
              <w:tc>
                <w:tcPr>
                  <w:tcW w:w="2783" w:type="dxa"/>
                  <w:tcBorders>
                    <w:tl2br w:val="nil"/>
                    <w:tr2bl w:val="nil"/>
                  </w:tcBorders>
                  <w:vAlign w:val="center"/>
                </w:tcPr>
                <w:p>
                  <w:pPr>
                    <w:keepNext/>
                    <w:keepLines/>
                    <w:spacing w:line="240" w:lineRule="auto"/>
                    <w:ind w:firstLine="0" w:firstLineChars="0"/>
                    <w:rPr>
                      <w:sz w:val="21"/>
                    </w:rPr>
                  </w:pPr>
                  <w:r>
                    <w:rPr>
                      <w:rFonts w:hint="eastAsia"/>
                      <w:sz w:val="21"/>
                    </w:rPr>
                    <w:t>本项目劳动定员为30人，拟租用盛泰源办公楼一层北侧为员工提供日常办公和临时休息。</w:t>
                  </w:r>
                </w:p>
              </w:tc>
              <w:tc>
                <w:tcPr>
                  <w:tcW w:w="886" w:type="dxa"/>
                  <w:tcBorders>
                    <w:tl2br w:val="nil"/>
                    <w:tr2bl w:val="nil"/>
                  </w:tcBorders>
                  <w:vAlign w:val="center"/>
                </w:tcPr>
                <w:p>
                  <w:pPr>
                    <w:keepNext/>
                    <w:keepLines/>
                    <w:spacing w:line="240" w:lineRule="auto"/>
                    <w:ind w:firstLine="0" w:firstLineChars="0"/>
                    <w:jc w:val="center"/>
                    <w:rPr>
                      <w:sz w:val="21"/>
                    </w:rPr>
                  </w:pPr>
                  <w:r>
                    <w:rPr>
                      <w:rFonts w:hint="eastAsia"/>
                      <w:sz w:val="21"/>
                    </w:rPr>
                    <w:t>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8" w:hRule="atLeast"/>
              </w:trPr>
              <w:tc>
                <w:tcPr>
                  <w:tcW w:w="567" w:type="dxa"/>
                  <w:vMerge w:val="continue"/>
                  <w:tcBorders>
                    <w:tl2br w:val="nil"/>
                    <w:tr2bl w:val="nil"/>
                  </w:tcBorders>
                  <w:vAlign w:val="center"/>
                </w:tcPr>
                <w:p>
                  <w:pPr>
                    <w:keepNext/>
                    <w:keepLines/>
                    <w:spacing w:line="240" w:lineRule="auto"/>
                    <w:ind w:firstLine="0" w:firstLineChars="0"/>
                    <w:jc w:val="center"/>
                    <w:rPr>
                      <w:sz w:val="21"/>
                    </w:rPr>
                  </w:pPr>
                </w:p>
              </w:tc>
              <w:tc>
                <w:tcPr>
                  <w:tcW w:w="674" w:type="dxa"/>
                  <w:tcBorders>
                    <w:tl2br w:val="nil"/>
                    <w:tr2bl w:val="nil"/>
                  </w:tcBorders>
                  <w:vAlign w:val="center"/>
                </w:tcPr>
                <w:p>
                  <w:pPr>
                    <w:spacing w:line="240" w:lineRule="auto"/>
                    <w:ind w:firstLine="0" w:firstLineChars="0"/>
                    <w:jc w:val="center"/>
                    <w:rPr>
                      <w:sz w:val="21"/>
                    </w:rPr>
                  </w:pPr>
                  <w:r>
                    <w:rPr>
                      <w:rFonts w:hint="eastAsia"/>
                      <w:sz w:val="21"/>
                    </w:rPr>
                    <w:t>食堂</w:t>
                  </w:r>
                </w:p>
              </w:tc>
              <w:tc>
                <w:tcPr>
                  <w:tcW w:w="3111" w:type="dxa"/>
                  <w:tcBorders>
                    <w:tl2br w:val="nil"/>
                    <w:tr2bl w:val="nil"/>
                  </w:tcBorders>
                  <w:vAlign w:val="center"/>
                </w:tcPr>
                <w:p>
                  <w:pPr>
                    <w:spacing w:line="240" w:lineRule="auto"/>
                    <w:ind w:firstLine="0" w:firstLineChars="0"/>
                    <w:rPr>
                      <w:sz w:val="21"/>
                    </w:rPr>
                  </w:pPr>
                  <w:r>
                    <w:rPr>
                      <w:rFonts w:hint="eastAsia"/>
                      <w:sz w:val="21"/>
                    </w:rPr>
                    <w:t>盛泰源食堂，位于厂区西侧，</w:t>
                  </w:r>
                  <w:r>
                    <w:rPr>
                      <w:sz w:val="21"/>
                      <w:szCs w:val="21"/>
                    </w:rPr>
                    <w:t>单层砖混结构，占地面积217m</w:t>
                  </w:r>
                  <w:r>
                    <w:rPr>
                      <w:sz w:val="21"/>
                      <w:szCs w:val="21"/>
                      <w:vertAlign w:val="superscript"/>
                    </w:rPr>
                    <w:t>2</w:t>
                  </w:r>
                  <w:r>
                    <w:rPr>
                      <w:sz w:val="21"/>
                      <w:szCs w:val="21"/>
                    </w:rPr>
                    <w:t>(31m×7m)</w:t>
                  </w:r>
                  <w:r>
                    <w:rPr>
                      <w:rFonts w:hint="eastAsia"/>
                      <w:sz w:val="21"/>
                      <w:szCs w:val="21"/>
                    </w:rPr>
                    <w:t>。</w:t>
                  </w:r>
                  <w:r>
                    <w:rPr>
                      <w:rFonts w:hint="eastAsia" w:cs="宋体"/>
                      <w:sz w:val="21"/>
                      <w:szCs w:val="24"/>
                      <w:lang w:bidi="ar"/>
                    </w:rPr>
                    <w:t>盛泰源食堂设</w:t>
                  </w:r>
                  <w:r>
                    <w:rPr>
                      <w:rFonts w:cs="Times New Roman"/>
                      <w:sz w:val="21"/>
                      <w:szCs w:val="24"/>
                      <w:lang w:bidi="ar"/>
                    </w:rPr>
                    <w:t>2</w:t>
                  </w:r>
                  <w:r>
                    <w:rPr>
                      <w:rFonts w:hint="eastAsia" w:cs="宋体"/>
                      <w:sz w:val="21"/>
                      <w:szCs w:val="24"/>
                      <w:lang w:bidi="ar"/>
                    </w:rPr>
                    <w:t>个基准灶头，每餐就餐人数为120人。</w:t>
                  </w:r>
                </w:p>
              </w:tc>
              <w:tc>
                <w:tcPr>
                  <w:tcW w:w="2783" w:type="dxa"/>
                  <w:tcBorders>
                    <w:tl2br w:val="nil"/>
                    <w:tr2bl w:val="nil"/>
                  </w:tcBorders>
                  <w:vAlign w:val="center"/>
                </w:tcPr>
                <w:p>
                  <w:pPr>
                    <w:keepNext/>
                    <w:keepLines/>
                    <w:spacing w:line="240" w:lineRule="auto"/>
                    <w:ind w:firstLine="0" w:firstLineChars="0"/>
                    <w:rPr>
                      <w:sz w:val="21"/>
                    </w:rPr>
                  </w:pPr>
                  <w:r>
                    <w:rPr>
                      <w:rFonts w:hint="eastAsia"/>
                      <w:sz w:val="21"/>
                    </w:rPr>
                    <w:t>本项目仅15名员工午餐在厂区就餐，拟计划员工按每餐10元标准支付盛泰源食堂。</w:t>
                  </w:r>
                </w:p>
              </w:tc>
              <w:tc>
                <w:tcPr>
                  <w:tcW w:w="886" w:type="dxa"/>
                  <w:tcBorders>
                    <w:tl2br w:val="nil"/>
                    <w:tr2bl w:val="nil"/>
                  </w:tcBorders>
                  <w:vAlign w:val="center"/>
                </w:tcPr>
                <w:p>
                  <w:pPr>
                    <w:keepNext/>
                    <w:keepLines/>
                    <w:spacing w:line="240" w:lineRule="auto"/>
                    <w:ind w:firstLine="0" w:firstLineChars="0"/>
                    <w:jc w:val="center"/>
                    <w:rPr>
                      <w:sz w:val="21"/>
                    </w:rPr>
                  </w:pPr>
                  <w:r>
                    <w:rPr>
                      <w:rFonts w:hint="eastAsia"/>
                      <w:sz w:val="21"/>
                    </w:rPr>
                    <w:t>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567" w:type="dxa"/>
                  <w:vMerge w:val="continue"/>
                  <w:tcBorders>
                    <w:tl2br w:val="nil"/>
                    <w:tr2bl w:val="nil"/>
                  </w:tcBorders>
                  <w:vAlign w:val="center"/>
                </w:tcPr>
                <w:p>
                  <w:pPr>
                    <w:keepNext/>
                    <w:keepLines/>
                    <w:spacing w:line="240" w:lineRule="auto"/>
                    <w:ind w:firstLine="0" w:firstLineChars="0"/>
                    <w:jc w:val="center"/>
                    <w:rPr>
                      <w:sz w:val="21"/>
                    </w:rPr>
                  </w:pPr>
                </w:p>
              </w:tc>
              <w:tc>
                <w:tcPr>
                  <w:tcW w:w="674" w:type="dxa"/>
                  <w:tcBorders>
                    <w:tl2br w:val="nil"/>
                    <w:tr2bl w:val="nil"/>
                  </w:tcBorders>
                  <w:vAlign w:val="center"/>
                </w:tcPr>
                <w:p>
                  <w:pPr>
                    <w:spacing w:line="240" w:lineRule="auto"/>
                    <w:ind w:firstLine="0" w:firstLineChars="0"/>
                    <w:jc w:val="center"/>
                    <w:rPr>
                      <w:sz w:val="21"/>
                    </w:rPr>
                  </w:pPr>
                  <w:r>
                    <w:rPr>
                      <w:rFonts w:hint="eastAsia"/>
                      <w:sz w:val="21"/>
                    </w:rPr>
                    <w:t>洗车平台</w:t>
                  </w:r>
                </w:p>
              </w:tc>
              <w:tc>
                <w:tcPr>
                  <w:tcW w:w="3111" w:type="dxa"/>
                  <w:tcBorders>
                    <w:tl2br w:val="nil"/>
                    <w:tr2bl w:val="nil"/>
                  </w:tcBorders>
                  <w:vAlign w:val="center"/>
                </w:tcPr>
                <w:p>
                  <w:pPr>
                    <w:spacing w:line="240" w:lineRule="auto"/>
                    <w:ind w:firstLine="0" w:firstLineChars="0"/>
                    <w:rPr>
                      <w:sz w:val="21"/>
                    </w:rPr>
                  </w:pPr>
                  <w:r>
                    <w:rPr>
                      <w:rFonts w:hint="eastAsia"/>
                      <w:sz w:val="21"/>
                    </w:rPr>
                    <w:t>东方恒略建有一座标准化洗车平台。</w:t>
                  </w:r>
                </w:p>
              </w:tc>
              <w:tc>
                <w:tcPr>
                  <w:tcW w:w="2783" w:type="dxa"/>
                  <w:tcBorders>
                    <w:tl2br w:val="nil"/>
                    <w:tr2bl w:val="nil"/>
                  </w:tcBorders>
                  <w:vAlign w:val="center"/>
                </w:tcPr>
                <w:p>
                  <w:pPr>
                    <w:keepNext/>
                    <w:keepLines/>
                    <w:spacing w:line="240" w:lineRule="auto"/>
                    <w:ind w:firstLine="0" w:firstLineChars="0"/>
                    <w:rPr>
                      <w:sz w:val="21"/>
                    </w:rPr>
                  </w:pPr>
                  <w:r>
                    <w:rPr>
                      <w:rFonts w:hint="eastAsia"/>
                      <w:sz w:val="21"/>
                    </w:rPr>
                    <w:t>本项目拟计划对出厂车辆进行冲洗，日均6辆。</w:t>
                  </w:r>
                </w:p>
              </w:tc>
              <w:tc>
                <w:tcPr>
                  <w:tcW w:w="886" w:type="dxa"/>
                  <w:tcBorders>
                    <w:tl2br w:val="nil"/>
                    <w:tr2bl w:val="nil"/>
                  </w:tcBorders>
                  <w:vAlign w:val="center"/>
                </w:tcPr>
                <w:p>
                  <w:pPr>
                    <w:keepNext/>
                    <w:keepLines/>
                    <w:spacing w:line="240" w:lineRule="auto"/>
                    <w:ind w:firstLine="0" w:firstLineChars="0"/>
                    <w:jc w:val="center"/>
                    <w:rPr>
                      <w:sz w:val="21"/>
                    </w:rPr>
                  </w:pPr>
                  <w:r>
                    <w:rPr>
                      <w:rFonts w:hint="eastAsia"/>
                      <w:sz w:val="21"/>
                    </w:rPr>
                    <w:t>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2" w:hRule="atLeast"/>
              </w:trPr>
              <w:tc>
                <w:tcPr>
                  <w:tcW w:w="567" w:type="dxa"/>
                  <w:vMerge w:val="restart"/>
                  <w:tcBorders>
                    <w:tl2br w:val="nil"/>
                    <w:tr2bl w:val="nil"/>
                  </w:tcBorders>
                  <w:vAlign w:val="center"/>
                </w:tcPr>
                <w:p>
                  <w:pPr>
                    <w:keepNext/>
                    <w:keepLines/>
                    <w:spacing w:line="240" w:lineRule="auto"/>
                    <w:ind w:firstLine="0" w:firstLineChars="0"/>
                    <w:jc w:val="center"/>
                    <w:rPr>
                      <w:sz w:val="21"/>
                    </w:rPr>
                  </w:pPr>
                  <w:r>
                    <w:rPr>
                      <w:rFonts w:hint="eastAsia"/>
                      <w:sz w:val="21"/>
                    </w:rPr>
                    <w:t>公用工程</w:t>
                  </w:r>
                </w:p>
              </w:tc>
              <w:tc>
                <w:tcPr>
                  <w:tcW w:w="674" w:type="dxa"/>
                  <w:tcBorders>
                    <w:tl2br w:val="nil"/>
                    <w:tr2bl w:val="nil"/>
                  </w:tcBorders>
                  <w:vAlign w:val="center"/>
                </w:tcPr>
                <w:p>
                  <w:pPr>
                    <w:spacing w:line="240" w:lineRule="auto"/>
                    <w:ind w:firstLine="0" w:firstLineChars="0"/>
                    <w:jc w:val="center"/>
                    <w:rPr>
                      <w:sz w:val="21"/>
                    </w:rPr>
                  </w:pPr>
                  <w:r>
                    <w:rPr>
                      <w:rFonts w:hint="eastAsia"/>
                      <w:sz w:val="21"/>
                    </w:rPr>
                    <w:t>供电</w:t>
                  </w:r>
                </w:p>
              </w:tc>
              <w:tc>
                <w:tcPr>
                  <w:tcW w:w="3111" w:type="dxa"/>
                  <w:tcBorders>
                    <w:tl2br w:val="nil"/>
                    <w:tr2bl w:val="nil"/>
                  </w:tcBorders>
                  <w:vAlign w:val="center"/>
                </w:tcPr>
                <w:p>
                  <w:pPr>
                    <w:spacing w:line="240" w:lineRule="auto"/>
                    <w:ind w:firstLine="0" w:firstLineChars="0"/>
                    <w:rPr>
                      <w:sz w:val="21"/>
                    </w:rPr>
                  </w:pPr>
                  <w:r>
                    <w:rPr>
                      <w:rFonts w:hint="eastAsia"/>
                      <w:sz w:val="21"/>
                    </w:rPr>
                    <w:t>东方恒略</w:t>
                  </w:r>
                  <w:r>
                    <w:rPr>
                      <w:sz w:val="21"/>
                      <w:szCs w:val="21"/>
                    </w:rPr>
                    <w:t>110KV专用供电线路供应</w:t>
                  </w:r>
                </w:p>
              </w:tc>
              <w:tc>
                <w:tcPr>
                  <w:tcW w:w="2783" w:type="dxa"/>
                  <w:tcBorders>
                    <w:tl2br w:val="nil"/>
                    <w:tr2bl w:val="nil"/>
                  </w:tcBorders>
                  <w:vAlign w:val="center"/>
                </w:tcPr>
                <w:p>
                  <w:pPr>
                    <w:keepNext/>
                    <w:keepLines/>
                    <w:spacing w:line="240" w:lineRule="auto"/>
                    <w:ind w:firstLine="0" w:firstLineChars="0"/>
                    <w:rPr>
                      <w:sz w:val="21"/>
                    </w:rPr>
                  </w:pPr>
                  <w:r>
                    <w:rPr>
                      <w:rFonts w:hint="eastAsia"/>
                      <w:sz w:val="21"/>
                    </w:rPr>
                    <w:t>项目年用电140万kW•h，拟计划依托东方恒略110KV专用供电线路新建10kv变压器</w:t>
                  </w:r>
                </w:p>
              </w:tc>
              <w:tc>
                <w:tcPr>
                  <w:tcW w:w="886" w:type="dxa"/>
                  <w:tcBorders>
                    <w:tl2br w:val="nil"/>
                    <w:tr2bl w:val="nil"/>
                  </w:tcBorders>
                  <w:vAlign w:val="center"/>
                </w:tcPr>
                <w:p>
                  <w:pPr>
                    <w:keepNext/>
                    <w:keepLines/>
                    <w:spacing w:line="240" w:lineRule="auto"/>
                    <w:ind w:firstLine="0" w:firstLineChars="0"/>
                    <w:jc w:val="center"/>
                    <w:rPr>
                      <w:sz w:val="21"/>
                    </w:rPr>
                  </w:pPr>
                  <w:r>
                    <w:rPr>
                      <w:rFonts w:hint="eastAsia"/>
                      <w:sz w:val="21"/>
                    </w:rPr>
                    <w:t>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7" w:type="dxa"/>
                  <w:vMerge w:val="continue"/>
                  <w:tcBorders>
                    <w:tl2br w:val="nil"/>
                    <w:tr2bl w:val="nil"/>
                  </w:tcBorders>
                  <w:vAlign w:val="center"/>
                </w:tcPr>
                <w:p>
                  <w:pPr>
                    <w:keepNext/>
                    <w:keepLines/>
                    <w:spacing w:line="240" w:lineRule="auto"/>
                    <w:ind w:firstLine="0" w:firstLineChars="0"/>
                    <w:jc w:val="center"/>
                    <w:rPr>
                      <w:sz w:val="21"/>
                    </w:rPr>
                  </w:pPr>
                </w:p>
              </w:tc>
              <w:tc>
                <w:tcPr>
                  <w:tcW w:w="674" w:type="dxa"/>
                  <w:tcBorders>
                    <w:tl2br w:val="nil"/>
                    <w:tr2bl w:val="nil"/>
                  </w:tcBorders>
                  <w:vAlign w:val="center"/>
                </w:tcPr>
                <w:p>
                  <w:pPr>
                    <w:spacing w:line="240" w:lineRule="auto"/>
                    <w:ind w:firstLine="0" w:firstLineChars="0"/>
                    <w:jc w:val="center"/>
                    <w:rPr>
                      <w:sz w:val="21"/>
                    </w:rPr>
                  </w:pPr>
                  <w:r>
                    <w:rPr>
                      <w:rFonts w:hint="eastAsia"/>
                      <w:sz w:val="21"/>
                    </w:rPr>
                    <w:t>供水</w:t>
                  </w:r>
                </w:p>
              </w:tc>
              <w:tc>
                <w:tcPr>
                  <w:tcW w:w="3111" w:type="dxa"/>
                  <w:tcBorders>
                    <w:tl2br w:val="nil"/>
                    <w:tr2bl w:val="nil"/>
                  </w:tcBorders>
                  <w:vAlign w:val="center"/>
                </w:tcPr>
                <w:p>
                  <w:pPr>
                    <w:spacing w:line="240" w:lineRule="auto"/>
                    <w:ind w:firstLine="0" w:firstLineChars="0"/>
                    <w:rPr>
                      <w:sz w:val="21"/>
                    </w:rPr>
                  </w:pPr>
                  <w:r>
                    <w:rPr>
                      <w:rFonts w:hint="eastAsia"/>
                      <w:sz w:val="21"/>
                    </w:rPr>
                    <w:t>东方恒略、盛泰源用水均由山西东方恒略精密铸造有限公司现有厂区给水设施提供，现有厂区用水取自公司厂区东北2.8km处的涝河水库及厂内两眼深水井。</w:t>
                  </w:r>
                </w:p>
              </w:tc>
              <w:tc>
                <w:tcPr>
                  <w:tcW w:w="2783" w:type="dxa"/>
                  <w:tcBorders>
                    <w:tl2br w:val="nil"/>
                    <w:tr2bl w:val="nil"/>
                  </w:tcBorders>
                  <w:vAlign w:val="center"/>
                </w:tcPr>
                <w:p>
                  <w:pPr>
                    <w:keepNext/>
                    <w:keepLines/>
                    <w:spacing w:line="240" w:lineRule="auto"/>
                    <w:ind w:firstLine="0" w:firstLineChars="0"/>
                    <w:rPr>
                      <w:rFonts w:hint="eastAsia"/>
                      <w:color w:val="auto"/>
                      <w:sz w:val="21"/>
                      <w:lang w:val="en-US" w:eastAsia="zh-CN"/>
                    </w:rPr>
                  </w:pPr>
                  <w:r>
                    <w:rPr>
                      <w:rFonts w:hint="eastAsia"/>
                      <w:color w:val="auto"/>
                      <w:sz w:val="21"/>
                    </w:rPr>
                    <w:t>项目年用水825t/a，</w:t>
                  </w:r>
                  <w:r>
                    <w:rPr>
                      <w:rFonts w:hint="eastAsia"/>
                      <w:color w:val="auto"/>
                      <w:sz w:val="21"/>
                      <w:lang w:val="en-US" w:eastAsia="zh-CN"/>
                    </w:rPr>
                    <w:t>项目拟计划用水由东方恒略供给。</w:t>
                  </w:r>
                  <w:r>
                    <w:rPr>
                      <w:rFonts w:hint="eastAsia"/>
                      <w:color w:val="auto"/>
                      <w:sz w:val="21"/>
                    </w:rPr>
                    <w:t>东方恒略</w:t>
                  </w:r>
                  <w:r>
                    <w:rPr>
                      <w:rFonts w:hint="eastAsia"/>
                      <w:color w:val="auto"/>
                      <w:sz w:val="21"/>
                      <w:lang w:val="en-US" w:eastAsia="zh-CN"/>
                    </w:rPr>
                    <w:t>生活用水由厂区自备水井供给，生产用水由涝</w:t>
                  </w:r>
                  <w:r>
                    <w:rPr>
                      <w:rFonts w:hint="eastAsia"/>
                      <w:color w:val="auto"/>
                      <w:sz w:val="21"/>
                    </w:rPr>
                    <w:t>河水库供给</w:t>
                  </w:r>
                  <w:r>
                    <w:rPr>
                      <w:rFonts w:hint="eastAsia"/>
                      <w:color w:val="auto"/>
                      <w:sz w:val="21"/>
                      <w:lang w:eastAsia="zh-CN"/>
                    </w:rPr>
                    <w:t>。</w:t>
                  </w:r>
                </w:p>
                <w:p>
                  <w:pPr>
                    <w:keepNext/>
                    <w:keepLines/>
                    <w:spacing w:line="240" w:lineRule="auto"/>
                    <w:ind w:firstLine="0" w:firstLineChars="0"/>
                    <w:rPr>
                      <w:rFonts w:hint="eastAsia"/>
                      <w:color w:val="auto"/>
                      <w:sz w:val="21"/>
                      <w:lang w:val="en-US" w:eastAsia="zh-CN"/>
                    </w:rPr>
                  </w:pPr>
                  <w:r>
                    <w:rPr>
                      <w:rFonts w:hint="eastAsia"/>
                      <w:color w:val="auto"/>
                      <w:sz w:val="21"/>
                      <w:lang w:val="en-US" w:eastAsia="zh-CN"/>
                    </w:rPr>
                    <w:t>东方恒略取水许可证有效期自2022年1月9日至2027年1月8日，编号：B141002S2022-0025。</w:t>
                  </w:r>
                </w:p>
                <w:p>
                  <w:pPr>
                    <w:keepNext/>
                    <w:keepLines/>
                    <w:spacing w:line="240" w:lineRule="auto"/>
                    <w:ind w:firstLine="0" w:firstLineChars="0"/>
                    <w:rPr>
                      <w:rFonts w:hint="default"/>
                      <w:sz w:val="21"/>
                      <w:lang w:val="en-US"/>
                    </w:rPr>
                  </w:pPr>
                  <w:r>
                    <w:rPr>
                      <w:rFonts w:hint="eastAsia"/>
                      <w:color w:val="auto"/>
                      <w:sz w:val="21"/>
                      <w:lang w:val="en-US" w:eastAsia="zh-CN"/>
                    </w:rPr>
                    <w:t>东方恒略地下水许可取水5.3万m</w:t>
                  </w:r>
                  <w:r>
                    <w:rPr>
                      <w:rFonts w:hint="eastAsia"/>
                      <w:color w:val="auto"/>
                      <w:sz w:val="21"/>
                      <w:vertAlign w:val="superscript"/>
                      <w:lang w:val="en-US" w:eastAsia="zh-CN"/>
                    </w:rPr>
                    <w:t>3</w:t>
                  </w:r>
                  <w:r>
                    <w:rPr>
                      <w:rFonts w:hint="eastAsia"/>
                      <w:color w:val="auto"/>
                      <w:sz w:val="21"/>
                      <w:lang w:val="en-US" w:eastAsia="zh-CN"/>
                    </w:rPr>
                    <w:t>/a，现东方恒略地下水取水5万m</w:t>
                  </w:r>
                  <w:r>
                    <w:rPr>
                      <w:rFonts w:hint="eastAsia"/>
                      <w:color w:val="auto"/>
                      <w:sz w:val="21"/>
                      <w:vertAlign w:val="superscript"/>
                      <w:lang w:val="en-US" w:eastAsia="zh-CN"/>
                    </w:rPr>
                    <w:t>3</w:t>
                  </w:r>
                  <w:r>
                    <w:rPr>
                      <w:rFonts w:hint="eastAsia"/>
                      <w:color w:val="auto"/>
                      <w:sz w:val="21"/>
                      <w:lang w:val="en-US" w:eastAsia="zh-CN"/>
                    </w:rPr>
                    <w:t>/a，本项目年用水825t/a，因此，本项目用水由东方恒略自备水井供给可行。</w:t>
                  </w:r>
                </w:p>
              </w:tc>
              <w:tc>
                <w:tcPr>
                  <w:tcW w:w="886" w:type="dxa"/>
                  <w:tcBorders>
                    <w:tl2br w:val="nil"/>
                    <w:tr2bl w:val="nil"/>
                  </w:tcBorders>
                  <w:vAlign w:val="center"/>
                </w:tcPr>
                <w:p>
                  <w:pPr>
                    <w:keepNext/>
                    <w:keepLines/>
                    <w:spacing w:line="240" w:lineRule="auto"/>
                    <w:ind w:firstLine="0" w:firstLineChars="0"/>
                    <w:jc w:val="center"/>
                    <w:rPr>
                      <w:sz w:val="21"/>
                    </w:rPr>
                  </w:pPr>
                  <w:r>
                    <w:rPr>
                      <w:rFonts w:hint="eastAsia"/>
                      <w:sz w:val="21"/>
                    </w:rPr>
                    <w:t>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7" w:type="dxa"/>
                  <w:vMerge w:val="continue"/>
                  <w:tcBorders>
                    <w:tl2br w:val="nil"/>
                    <w:tr2bl w:val="nil"/>
                  </w:tcBorders>
                  <w:vAlign w:val="center"/>
                </w:tcPr>
                <w:p>
                  <w:pPr>
                    <w:keepNext/>
                    <w:keepLines/>
                    <w:spacing w:line="240" w:lineRule="auto"/>
                    <w:ind w:firstLine="0" w:firstLineChars="0"/>
                    <w:jc w:val="center"/>
                    <w:rPr>
                      <w:sz w:val="21"/>
                    </w:rPr>
                  </w:pPr>
                </w:p>
              </w:tc>
              <w:tc>
                <w:tcPr>
                  <w:tcW w:w="674" w:type="dxa"/>
                  <w:tcBorders>
                    <w:tl2br w:val="nil"/>
                    <w:tr2bl w:val="nil"/>
                  </w:tcBorders>
                  <w:vAlign w:val="center"/>
                </w:tcPr>
                <w:p>
                  <w:pPr>
                    <w:spacing w:line="240" w:lineRule="auto"/>
                    <w:ind w:firstLine="0" w:firstLineChars="0"/>
                    <w:jc w:val="center"/>
                    <w:rPr>
                      <w:sz w:val="21"/>
                    </w:rPr>
                  </w:pPr>
                  <w:r>
                    <w:rPr>
                      <w:rFonts w:hint="eastAsia"/>
                      <w:sz w:val="21"/>
                    </w:rPr>
                    <w:t>排水</w:t>
                  </w:r>
                </w:p>
              </w:tc>
              <w:tc>
                <w:tcPr>
                  <w:tcW w:w="3111" w:type="dxa"/>
                  <w:tcBorders>
                    <w:tl2br w:val="nil"/>
                    <w:tr2bl w:val="nil"/>
                  </w:tcBorders>
                  <w:vAlign w:val="center"/>
                </w:tcPr>
                <w:p>
                  <w:pPr>
                    <w:spacing w:line="240" w:lineRule="auto"/>
                    <w:ind w:firstLine="0" w:firstLineChars="0"/>
                    <w:rPr>
                      <w:sz w:val="21"/>
                    </w:rPr>
                  </w:pPr>
                  <w:r>
                    <w:rPr>
                      <w:rFonts w:hint="eastAsia"/>
                      <w:sz w:val="21"/>
                    </w:rPr>
                    <w:t>东方恒略、盛泰源生活污水</w:t>
                  </w:r>
                  <w:r>
                    <w:rPr>
                      <w:sz w:val="21"/>
                      <w:szCs w:val="21"/>
                    </w:rPr>
                    <w:t>由排水管道收集排至化粪池，经初级处理后，汇入生活污水管网，送至</w:t>
                  </w:r>
                  <w:r>
                    <w:rPr>
                      <w:rFonts w:hint="eastAsia"/>
                      <w:sz w:val="21"/>
                      <w:szCs w:val="21"/>
                      <w:lang w:val="en-US" w:eastAsia="zh-CN"/>
                    </w:rPr>
                    <w:t>东方恒略</w:t>
                  </w:r>
                  <w:r>
                    <w:rPr>
                      <w:sz w:val="21"/>
                      <w:szCs w:val="21"/>
                    </w:rPr>
                    <w:t>现有生活污水处理站处理</w:t>
                  </w:r>
                  <w:r>
                    <w:rPr>
                      <w:rFonts w:hint="eastAsia"/>
                      <w:sz w:val="21"/>
                      <w:szCs w:val="21"/>
                    </w:rPr>
                    <w:t>。</w:t>
                  </w:r>
                </w:p>
              </w:tc>
              <w:tc>
                <w:tcPr>
                  <w:tcW w:w="2783" w:type="dxa"/>
                  <w:tcBorders>
                    <w:tl2br w:val="nil"/>
                    <w:tr2bl w:val="nil"/>
                  </w:tcBorders>
                  <w:vAlign w:val="center"/>
                </w:tcPr>
                <w:p>
                  <w:pPr>
                    <w:keepNext/>
                    <w:keepLines/>
                    <w:spacing w:line="240" w:lineRule="auto"/>
                    <w:ind w:firstLine="0" w:firstLineChars="0"/>
                    <w:rPr>
                      <w:rFonts w:hint="eastAsia"/>
                      <w:color w:val="auto"/>
                      <w:sz w:val="21"/>
                    </w:rPr>
                  </w:pPr>
                  <w:r>
                    <w:rPr>
                      <w:rFonts w:hint="eastAsia"/>
                      <w:color w:val="auto"/>
                      <w:sz w:val="21"/>
                    </w:rPr>
                    <w:t>本项目仅办公楼职工日常生活废水2.16m</w:t>
                  </w:r>
                  <w:r>
                    <w:rPr>
                      <w:rFonts w:hint="eastAsia"/>
                      <w:color w:val="auto"/>
                      <w:sz w:val="21"/>
                      <w:vertAlign w:val="superscript"/>
                    </w:rPr>
                    <w:t>3</w:t>
                  </w:r>
                  <w:r>
                    <w:rPr>
                      <w:rFonts w:hint="eastAsia"/>
                      <w:color w:val="auto"/>
                      <w:sz w:val="21"/>
                    </w:rPr>
                    <w:t>/d，车间采用旱厕。盛泰源办公楼污水管网</w:t>
                  </w:r>
                  <w:r>
                    <w:rPr>
                      <w:rFonts w:hint="eastAsia"/>
                      <w:color w:val="auto"/>
                      <w:sz w:val="21"/>
                      <w:lang w:val="en-US" w:eastAsia="zh-CN"/>
                    </w:rPr>
                    <w:t>已</w:t>
                  </w:r>
                  <w:r>
                    <w:rPr>
                      <w:rFonts w:hint="eastAsia"/>
                      <w:color w:val="auto"/>
                      <w:sz w:val="21"/>
                    </w:rPr>
                    <w:t>建设完成。</w:t>
                  </w:r>
                </w:p>
                <w:p>
                  <w:pPr>
                    <w:keepNext/>
                    <w:keepLines/>
                    <w:spacing w:line="240" w:lineRule="auto"/>
                    <w:ind w:firstLine="0" w:firstLineChars="0"/>
                    <w:rPr>
                      <w:sz w:val="21"/>
                    </w:rPr>
                  </w:pPr>
                  <w:r>
                    <w:rPr>
                      <w:rFonts w:hint="eastAsia"/>
                      <w:color w:val="auto"/>
                      <w:sz w:val="21"/>
                      <w:lang w:val="en-US" w:eastAsia="zh-CN"/>
                    </w:rPr>
                    <w:t>东方恒略生活污水处理站现最大处理量为3.38m</w:t>
                  </w:r>
                  <w:r>
                    <w:rPr>
                      <w:rFonts w:hint="eastAsia"/>
                      <w:color w:val="auto"/>
                      <w:sz w:val="21"/>
                      <w:vertAlign w:val="superscript"/>
                      <w:lang w:val="en-US" w:eastAsia="zh-CN"/>
                    </w:rPr>
                    <w:t>3</w:t>
                  </w:r>
                  <w:r>
                    <w:rPr>
                      <w:rFonts w:hint="eastAsia"/>
                      <w:color w:val="auto"/>
                      <w:sz w:val="21"/>
                      <w:lang w:val="en-US" w:eastAsia="zh-CN"/>
                    </w:rPr>
                    <w:t>/h，本项目生活污水量为2.16m</w:t>
                  </w:r>
                  <w:r>
                    <w:rPr>
                      <w:rFonts w:hint="eastAsia"/>
                      <w:color w:val="auto"/>
                      <w:sz w:val="21"/>
                      <w:vertAlign w:val="superscript"/>
                      <w:lang w:val="en-US" w:eastAsia="zh-CN"/>
                    </w:rPr>
                    <w:t>3</w:t>
                  </w:r>
                  <w:r>
                    <w:rPr>
                      <w:rFonts w:hint="eastAsia"/>
                      <w:color w:val="auto"/>
                      <w:sz w:val="21"/>
                      <w:lang w:val="en-US" w:eastAsia="zh-CN"/>
                    </w:rPr>
                    <w:t>/d（折合0.09m</w:t>
                  </w:r>
                  <w:r>
                    <w:rPr>
                      <w:rFonts w:hint="eastAsia"/>
                      <w:color w:val="auto"/>
                      <w:sz w:val="21"/>
                      <w:vertAlign w:val="superscript"/>
                      <w:lang w:val="en-US" w:eastAsia="zh-CN"/>
                    </w:rPr>
                    <w:t>3</w:t>
                  </w:r>
                  <w:r>
                    <w:rPr>
                      <w:rFonts w:hint="eastAsia"/>
                      <w:color w:val="auto"/>
                      <w:sz w:val="21"/>
                      <w:lang w:val="en-US" w:eastAsia="zh-CN"/>
                    </w:rPr>
                    <w:t>/h），本项目投运后污水排放总量（3.47m</w:t>
                  </w:r>
                  <w:r>
                    <w:rPr>
                      <w:rFonts w:hint="eastAsia"/>
                      <w:color w:val="auto"/>
                      <w:sz w:val="21"/>
                      <w:vertAlign w:val="superscript"/>
                      <w:lang w:val="en-US" w:eastAsia="zh-CN"/>
                    </w:rPr>
                    <w:t>3</w:t>
                  </w:r>
                  <w:r>
                    <w:rPr>
                      <w:rFonts w:hint="eastAsia"/>
                      <w:color w:val="auto"/>
                      <w:sz w:val="21"/>
                      <w:lang w:val="en-US" w:eastAsia="zh-CN"/>
                    </w:rPr>
                    <w:t>/h）低于设计污水处理能力（5m</w:t>
                  </w:r>
                  <w:r>
                    <w:rPr>
                      <w:rFonts w:hint="eastAsia"/>
                      <w:color w:val="auto"/>
                      <w:sz w:val="21"/>
                      <w:vertAlign w:val="superscript"/>
                      <w:lang w:val="en-US" w:eastAsia="zh-CN"/>
                    </w:rPr>
                    <w:t>3</w:t>
                  </w:r>
                  <w:r>
                    <w:rPr>
                      <w:rFonts w:hint="eastAsia"/>
                      <w:color w:val="auto"/>
                      <w:sz w:val="21"/>
                      <w:lang w:val="en-US" w:eastAsia="zh-CN"/>
                    </w:rPr>
                    <w:t>/h），水量满足要求；本项目仅生活污水产生，水质满足东方恒略生活污水处理站的进水水质要求。</w:t>
                  </w:r>
                </w:p>
              </w:tc>
              <w:tc>
                <w:tcPr>
                  <w:tcW w:w="886" w:type="dxa"/>
                  <w:tcBorders>
                    <w:tl2br w:val="nil"/>
                    <w:tr2bl w:val="nil"/>
                  </w:tcBorders>
                  <w:vAlign w:val="center"/>
                </w:tcPr>
                <w:p>
                  <w:pPr>
                    <w:keepNext/>
                    <w:keepLines/>
                    <w:spacing w:line="240" w:lineRule="auto"/>
                    <w:ind w:firstLine="0" w:firstLineChars="0"/>
                    <w:jc w:val="center"/>
                    <w:rPr>
                      <w:sz w:val="21"/>
                    </w:rPr>
                  </w:pPr>
                  <w:r>
                    <w:rPr>
                      <w:rFonts w:hint="eastAsia"/>
                      <w:sz w:val="21"/>
                    </w:rPr>
                    <w:t>可行</w:t>
                  </w:r>
                </w:p>
              </w:tc>
            </w:tr>
          </w:tbl>
          <w:p>
            <w:pPr>
              <w:ind w:firstLine="482"/>
              <w:rPr>
                <w:b/>
                <w:bCs/>
                <w:color w:val="auto"/>
              </w:rPr>
            </w:pPr>
            <w:r>
              <w:rPr>
                <w:rFonts w:hint="eastAsia"/>
                <w:b/>
                <w:bCs/>
                <w:color w:val="auto"/>
                <w:lang w:val="en-US" w:eastAsia="zh-CN"/>
              </w:rPr>
              <w:t>依托</w:t>
            </w:r>
            <w:r>
              <w:rPr>
                <w:rFonts w:hint="eastAsia"/>
                <w:b/>
                <w:bCs/>
                <w:color w:val="auto"/>
              </w:rPr>
              <w:t>公司的基本情况:</w:t>
            </w:r>
          </w:p>
          <w:p>
            <w:pPr>
              <w:ind w:firstLine="480"/>
              <w:rPr>
                <w:color w:val="auto"/>
              </w:rPr>
            </w:pPr>
            <w:r>
              <w:rPr>
                <w:rFonts w:hint="eastAsia"/>
                <w:color w:val="auto"/>
              </w:rPr>
              <w:t>本项目租用盛泰源50亩场地，盛泰源则是租用东方恒略西侧164亩场地。</w:t>
            </w:r>
          </w:p>
          <w:p>
            <w:pPr>
              <w:ind w:firstLine="482"/>
              <w:rPr>
                <w:b/>
                <w:bCs/>
                <w:color w:val="auto"/>
              </w:rPr>
            </w:pPr>
            <w:r>
              <w:rPr>
                <w:rFonts w:hint="eastAsia"/>
                <w:b/>
                <w:bCs/>
                <w:color w:val="auto"/>
              </w:rPr>
              <w:t>（1）山西盛泰源特种材料科技有限公司</w:t>
            </w:r>
          </w:p>
          <w:p>
            <w:pPr>
              <w:ind w:firstLine="480"/>
              <w:rPr>
                <w:color w:val="auto"/>
              </w:rPr>
            </w:pPr>
            <w:r>
              <w:rPr>
                <w:color w:val="auto"/>
              </w:rPr>
              <w:t>山西盛泰源特种材料科技有限公司原为临汾隆顺昌铸锻有限公司，于2011年在尧都区乔李镇南侯村南约0.3km处投资建设</w:t>
            </w:r>
            <w:r>
              <w:rPr>
                <w:rFonts w:hint="eastAsia"/>
                <w:color w:val="auto"/>
              </w:rPr>
              <w:t>“</w:t>
            </w:r>
            <w:r>
              <w:rPr>
                <w:color w:val="auto"/>
              </w:rPr>
              <w:t>年产8万吨铸锻及机加工项目</w:t>
            </w:r>
            <w:r>
              <w:rPr>
                <w:rFonts w:hint="eastAsia"/>
                <w:color w:val="auto"/>
              </w:rPr>
              <w:t>”</w:t>
            </w:r>
            <w:r>
              <w:rPr>
                <w:color w:val="auto"/>
              </w:rPr>
              <w:t>。</w:t>
            </w:r>
            <w:r>
              <w:rPr>
                <w:rFonts w:hint="eastAsia"/>
                <w:color w:val="auto"/>
              </w:rPr>
              <w:t>后</w:t>
            </w:r>
            <w:r>
              <w:rPr>
                <w:color w:val="auto"/>
              </w:rPr>
              <w:t>根据尧都区人民政府《关于尧都区辖区内铸造企业限期搬迁人园的通知》文件要求</w:t>
            </w:r>
            <w:r>
              <w:rPr>
                <w:rFonts w:hint="eastAsia"/>
                <w:color w:val="auto"/>
              </w:rPr>
              <w:t>“</w:t>
            </w:r>
            <w:r>
              <w:rPr>
                <w:color w:val="auto"/>
              </w:rPr>
              <w:t>临汾通泽金属材料科技有限公司等辖区内铸造企业于2020年5月底前全部搬迁进入大阳高端装备制造产业园</w:t>
            </w:r>
            <w:r>
              <w:rPr>
                <w:rFonts w:hint="eastAsia"/>
                <w:color w:val="auto"/>
              </w:rPr>
              <w:t>”</w:t>
            </w:r>
            <w:r>
              <w:rPr>
                <w:color w:val="auto"/>
              </w:rPr>
              <w:t>。为此，临汾通泽金属材料科技有限公司利用现有产能、设备、技术与合作方重组成立山西盛泰源特种材料科技有限公司，</w:t>
            </w:r>
            <w:r>
              <w:rPr>
                <w:rFonts w:hint="eastAsia"/>
                <w:color w:val="auto"/>
              </w:rPr>
              <w:t>将</w:t>
            </w:r>
            <w:r>
              <w:rPr>
                <w:color w:val="auto"/>
              </w:rPr>
              <w:t>临汾通泽金属材料科技有限公司</w:t>
            </w:r>
            <w:r>
              <w:rPr>
                <w:rFonts w:hint="eastAsia"/>
                <w:color w:val="auto"/>
              </w:rPr>
              <w:t>现有设备原封不动地搬迁至新厂区，实施异地搬迁。</w:t>
            </w:r>
          </w:p>
          <w:p>
            <w:pPr>
              <w:ind w:firstLine="480"/>
              <w:rPr>
                <w:rFonts w:eastAsia="仿宋"/>
                <w:color w:val="auto"/>
                <w:szCs w:val="28"/>
              </w:rPr>
            </w:pPr>
            <w:r>
              <w:rPr>
                <w:rFonts w:hint="eastAsia"/>
                <w:color w:val="auto"/>
              </w:rPr>
              <w:t>企业</w:t>
            </w:r>
            <w:r>
              <w:rPr>
                <w:color w:val="auto"/>
              </w:rPr>
              <w:t>租用已停产的山西东方恒略精密铸造有限公司2×40t转炉及配套工程、年产80万吨带钢生产线项目炼钢厂房和轧钢线材厂房作为</w:t>
            </w:r>
            <w:r>
              <w:rPr>
                <w:rFonts w:hint="eastAsia"/>
                <w:color w:val="auto"/>
              </w:rPr>
              <w:t>本次搬迁项目新厂区</w:t>
            </w:r>
            <w:r>
              <w:rPr>
                <w:color w:val="auto"/>
              </w:rPr>
              <w:t>，建设山西盛泰源特种材料科技有限公司年产8万吨合金材料铸锻加工项目</w:t>
            </w:r>
            <w:r>
              <w:rPr>
                <w:rFonts w:hint="eastAsia"/>
                <w:color w:val="auto"/>
              </w:rPr>
              <w:t>。</w:t>
            </w:r>
            <w:r>
              <w:rPr>
                <w:color w:val="auto"/>
              </w:rPr>
              <w:t>项目8万吨合金材料铸锻产能包括铸件5万吨和锻件3万吨</w:t>
            </w:r>
            <w:r>
              <w:rPr>
                <w:rFonts w:hint="eastAsia"/>
                <w:color w:val="auto"/>
              </w:rPr>
              <w:t>（</w:t>
            </w:r>
            <w:r>
              <w:rPr>
                <w:color w:val="auto"/>
              </w:rPr>
              <w:t>5万吨铸件作为中间产品，经锻压、热处理和机械加工得到最终产品3万吨锻件模具</w:t>
            </w:r>
            <w:r>
              <w:rPr>
                <w:rFonts w:hint="eastAsia"/>
                <w:color w:val="auto"/>
              </w:rPr>
              <w:t>）</w:t>
            </w:r>
            <w:r>
              <w:rPr>
                <w:color w:val="auto"/>
              </w:rPr>
              <w:t>。</w:t>
            </w:r>
          </w:p>
          <w:p>
            <w:pPr>
              <w:ind w:firstLine="480"/>
              <w:rPr>
                <w:color w:val="auto"/>
              </w:rPr>
            </w:pPr>
            <w:r>
              <w:rPr>
                <w:rFonts w:hint="eastAsia"/>
                <w:color w:val="auto"/>
              </w:rPr>
              <w:t>2020年7月29日临汾市行政审批服务管理局出具关于“山西盛泰源特种材料科技有限公司年产8万吨合金材料铸锻加工项目环境影响报告表的批复”（临行审函[2020]174号）；2022年6月山西盛泰源特种材料科技有限公司年产8万吨合金材料铸锻加工项目建成；2022年7月29日</w:t>
            </w:r>
            <w:r>
              <w:rPr>
                <w:color w:val="auto"/>
              </w:rPr>
              <w:t>山西盛泰源特种材料科技有限公司</w:t>
            </w:r>
            <w:r>
              <w:rPr>
                <w:rFonts w:hint="eastAsia"/>
                <w:color w:val="auto"/>
              </w:rPr>
              <w:t>取得排污许可证，证书编号：91141000MA0KNF407E001Q。</w:t>
            </w:r>
            <w:r>
              <w:rPr>
                <w:color w:val="auto"/>
              </w:rPr>
              <w:t>山西盛泰源特种材料科技有限公司</w:t>
            </w:r>
            <w:r>
              <w:rPr>
                <w:rFonts w:hint="eastAsia"/>
                <w:color w:val="auto"/>
              </w:rPr>
              <w:t>当前正在做自主验收。</w:t>
            </w:r>
          </w:p>
          <w:p>
            <w:pPr>
              <w:ind w:firstLine="482"/>
              <w:rPr>
                <w:color w:val="auto"/>
              </w:rPr>
            </w:pPr>
            <w:r>
              <w:rPr>
                <w:rFonts w:hint="eastAsia"/>
                <w:b/>
                <w:bCs/>
                <w:color w:val="auto"/>
              </w:rPr>
              <w:t>（2）山西东方恒略精密铸造有限公司</w:t>
            </w:r>
          </w:p>
          <w:p>
            <w:pPr>
              <w:ind w:firstLine="480"/>
              <w:rPr>
                <w:color w:val="auto"/>
              </w:rPr>
            </w:pPr>
            <w:r>
              <w:rPr>
                <w:color w:val="auto"/>
              </w:rPr>
              <w:t>山西东方恒略精密铸造有限公司其前身为临汾市志强钢铁有限公司，该公司成立于2002年12月，于2003年3月31日正式投产，厂址位于临汾市尧都区大阳镇王雅村西，占地55.2万m</w:t>
            </w:r>
            <w:r>
              <w:rPr>
                <w:color w:val="auto"/>
                <w:vertAlign w:val="superscript"/>
              </w:rPr>
              <w:t>2</w:t>
            </w:r>
            <w:r>
              <w:rPr>
                <w:color w:val="auto"/>
              </w:rPr>
              <w:t>，是一家集铸造、机加工、发电等为一体的股份制企业。</w:t>
            </w:r>
          </w:p>
          <w:p>
            <w:pPr>
              <w:ind w:firstLine="480"/>
              <w:rPr>
                <w:rFonts w:hint="eastAsia"/>
                <w:color w:val="auto"/>
              </w:rPr>
            </w:pPr>
            <w:r>
              <w:rPr>
                <w:color w:val="auto"/>
              </w:rPr>
              <w:t>目前，山西东方恒略精密铸造有限公司现主要生产装备有1台90</w:t>
            </w:r>
            <w:r>
              <w:rPr>
                <w:rFonts w:hint="eastAsia"/>
                <w:color w:val="auto"/>
              </w:rPr>
              <w:t>m</w:t>
            </w:r>
            <w:r>
              <w:rPr>
                <w:rFonts w:hint="eastAsia"/>
                <w:color w:val="auto"/>
                <w:vertAlign w:val="superscript"/>
              </w:rPr>
              <w:t>2</w:t>
            </w:r>
            <w:r>
              <w:rPr>
                <w:color w:val="auto"/>
              </w:rPr>
              <w:t>带式烧结机</w:t>
            </w:r>
            <w:r>
              <w:rPr>
                <w:rFonts w:hint="eastAsia"/>
                <w:color w:val="auto"/>
              </w:rPr>
              <w:t>（</w:t>
            </w:r>
            <w:r>
              <w:rPr>
                <w:color w:val="auto"/>
              </w:rPr>
              <w:t>淘汰关停了2台45</w:t>
            </w:r>
            <w:r>
              <w:rPr>
                <w:rFonts w:hint="eastAsia"/>
                <w:color w:val="auto"/>
              </w:rPr>
              <w:t>m</w:t>
            </w:r>
            <w:r>
              <w:rPr>
                <w:rFonts w:hint="eastAsia"/>
                <w:color w:val="auto"/>
                <w:vertAlign w:val="superscript"/>
              </w:rPr>
              <w:t>2</w:t>
            </w:r>
            <w:r>
              <w:rPr>
                <w:color w:val="auto"/>
              </w:rPr>
              <w:t>带式烧结机</w:t>
            </w:r>
            <w:r>
              <w:rPr>
                <w:rFonts w:hint="eastAsia"/>
                <w:color w:val="auto"/>
              </w:rPr>
              <w:t>）</w:t>
            </w:r>
            <w:r>
              <w:rPr>
                <w:color w:val="auto"/>
              </w:rPr>
              <w:t>、1座382m</w:t>
            </w:r>
            <w:r>
              <w:rPr>
                <w:color w:val="auto"/>
                <w:vertAlign w:val="superscript"/>
              </w:rPr>
              <w:t>3</w:t>
            </w:r>
            <w:r>
              <w:rPr>
                <w:color w:val="auto"/>
              </w:rPr>
              <w:t>铸造高炉、2台6MW/h煤气发电机组、2×4500m</w:t>
            </w:r>
            <w:r>
              <w:rPr>
                <w:color w:val="auto"/>
                <w:vertAlign w:val="superscript"/>
              </w:rPr>
              <w:t>3</w:t>
            </w:r>
            <w:r>
              <w:rPr>
                <w:color w:val="auto"/>
              </w:rPr>
              <w:t>/h制氧建设项目、6000m</w:t>
            </w:r>
            <w:r>
              <w:rPr>
                <w:color w:val="auto"/>
                <w:vertAlign w:val="superscript"/>
              </w:rPr>
              <w:t>3</w:t>
            </w:r>
            <w:r>
              <w:rPr>
                <w:color w:val="auto"/>
              </w:rPr>
              <w:t>/h制氧生产线建设项目、年产80万吨带钢生产线项目、年产6万吨消失模和4万吨V法铸造生产项目、年产10万吨精密铸件项目。公司已具备年产铁水37.9万吨、20万吨铸造的生产能力。</w:t>
            </w:r>
          </w:p>
          <w:p>
            <w:pPr>
              <w:ind w:firstLine="480"/>
            </w:pPr>
            <w:r>
              <w:rPr>
                <w:rFonts w:hint="eastAsia"/>
              </w:rPr>
              <w:t>经表2-2分析，本项目的依托工程具有可行性和保证性。</w:t>
            </w:r>
          </w:p>
          <w:p>
            <w:pPr>
              <w:pStyle w:val="4"/>
            </w:pPr>
            <w:r>
              <w:rPr>
                <w:rFonts w:hint="eastAsia"/>
              </w:rPr>
              <w:t>2.3主要生产设备</w:t>
            </w:r>
          </w:p>
          <w:p>
            <w:pPr>
              <w:spacing w:line="500" w:lineRule="exact"/>
              <w:ind w:firstLine="480"/>
            </w:pPr>
            <w:r>
              <w:rPr>
                <w:rFonts w:hint="eastAsia"/>
              </w:rPr>
              <w:t>本</w:t>
            </w:r>
            <w:r>
              <w:t>项目主要生产设备详见表</w:t>
            </w:r>
            <w:r>
              <w:rPr>
                <w:rFonts w:hint="eastAsia"/>
              </w:rPr>
              <w:t>2-3。</w:t>
            </w:r>
          </w:p>
          <w:p>
            <w:pPr>
              <w:spacing w:line="240" w:lineRule="auto"/>
              <w:ind w:firstLine="0" w:firstLineChars="0"/>
              <w:jc w:val="center"/>
              <w:rPr>
                <w:b/>
                <w:bCs/>
                <w:sz w:val="21"/>
                <w:szCs w:val="21"/>
              </w:rPr>
            </w:pPr>
            <w:r>
              <w:rPr>
                <w:rFonts w:hint="eastAsia"/>
                <w:b/>
                <w:bCs/>
                <w:sz w:val="21"/>
                <w:szCs w:val="21"/>
              </w:rPr>
              <w:t>表2-3  主要生产设备一览表</w:t>
            </w:r>
          </w:p>
          <w:tbl>
            <w:tblPr>
              <w:tblStyle w:val="34"/>
              <w:tblW w:w="496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1"/>
              <w:gridCol w:w="2267"/>
              <w:gridCol w:w="775"/>
              <w:gridCol w:w="2930"/>
              <w:gridCol w:w="9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tcBorders>
                    <w:bottom w:val="single" w:color="auto" w:sz="12" w:space="0"/>
                  </w:tcBorders>
                  <w:vAlign w:val="center"/>
                </w:tcPr>
                <w:p>
                  <w:pPr>
                    <w:spacing w:line="240" w:lineRule="auto"/>
                    <w:ind w:firstLine="0" w:firstLineChars="0"/>
                    <w:contextualSpacing/>
                    <w:jc w:val="center"/>
                    <w:rPr>
                      <w:b/>
                      <w:sz w:val="21"/>
                      <w:szCs w:val="21"/>
                    </w:rPr>
                  </w:pPr>
                  <w:r>
                    <w:rPr>
                      <w:b/>
                      <w:sz w:val="21"/>
                      <w:szCs w:val="21"/>
                    </w:rPr>
                    <w:t>序号</w:t>
                  </w:r>
                </w:p>
              </w:tc>
              <w:tc>
                <w:tcPr>
                  <w:tcW w:w="1422" w:type="pct"/>
                  <w:tcBorders>
                    <w:bottom w:val="single" w:color="auto" w:sz="12" w:space="0"/>
                  </w:tcBorders>
                  <w:vAlign w:val="center"/>
                </w:tcPr>
                <w:p>
                  <w:pPr>
                    <w:spacing w:line="240" w:lineRule="auto"/>
                    <w:ind w:firstLine="0" w:firstLineChars="0"/>
                    <w:contextualSpacing/>
                    <w:jc w:val="center"/>
                    <w:rPr>
                      <w:b/>
                      <w:sz w:val="21"/>
                      <w:szCs w:val="21"/>
                    </w:rPr>
                  </w:pPr>
                  <w:r>
                    <w:rPr>
                      <w:b/>
                      <w:sz w:val="21"/>
                      <w:szCs w:val="21"/>
                    </w:rPr>
                    <w:t>名  称</w:t>
                  </w:r>
                </w:p>
              </w:tc>
              <w:tc>
                <w:tcPr>
                  <w:tcW w:w="487" w:type="pct"/>
                  <w:tcBorders>
                    <w:bottom w:val="single" w:color="auto" w:sz="12" w:space="0"/>
                  </w:tcBorders>
                  <w:vAlign w:val="center"/>
                </w:tcPr>
                <w:p>
                  <w:pPr>
                    <w:spacing w:line="240" w:lineRule="auto"/>
                    <w:ind w:firstLine="0" w:firstLineChars="0"/>
                    <w:contextualSpacing/>
                    <w:jc w:val="center"/>
                    <w:rPr>
                      <w:b/>
                      <w:sz w:val="21"/>
                      <w:szCs w:val="21"/>
                    </w:rPr>
                  </w:pPr>
                  <w:r>
                    <w:rPr>
                      <w:b/>
                      <w:sz w:val="21"/>
                      <w:szCs w:val="21"/>
                    </w:rPr>
                    <w:t>单位</w:t>
                  </w:r>
                </w:p>
              </w:tc>
              <w:tc>
                <w:tcPr>
                  <w:tcW w:w="1839" w:type="pct"/>
                  <w:tcBorders>
                    <w:bottom w:val="single" w:color="auto" w:sz="12" w:space="0"/>
                  </w:tcBorders>
                  <w:vAlign w:val="center"/>
                </w:tcPr>
                <w:p>
                  <w:pPr>
                    <w:spacing w:line="240" w:lineRule="auto"/>
                    <w:ind w:firstLine="0" w:firstLineChars="0"/>
                    <w:contextualSpacing/>
                    <w:jc w:val="center"/>
                    <w:rPr>
                      <w:b/>
                      <w:sz w:val="21"/>
                      <w:szCs w:val="21"/>
                    </w:rPr>
                  </w:pPr>
                  <w:r>
                    <w:rPr>
                      <w:b/>
                      <w:sz w:val="21"/>
                      <w:szCs w:val="21"/>
                    </w:rPr>
                    <w:t>规格型号</w:t>
                  </w:r>
                </w:p>
              </w:tc>
              <w:tc>
                <w:tcPr>
                  <w:tcW w:w="621" w:type="pct"/>
                  <w:tcBorders>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1</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液压龙门剪切机</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Q91Y-1000</w:t>
                  </w:r>
                </w:p>
              </w:tc>
              <w:tc>
                <w:tcPr>
                  <w:tcW w:w="621" w:type="pct"/>
                  <w:vAlign w:val="center"/>
                </w:tcPr>
                <w:p>
                  <w:pPr>
                    <w:spacing w:line="240" w:lineRule="auto"/>
                    <w:ind w:firstLine="0" w:firstLineChars="0"/>
                    <w:contextualSpacing/>
                    <w:jc w:val="center"/>
                    <w:rPr>
                      <w:sz w:val="21"/>
                      <w:szCs w:val="21"/>
                    </w:rPr>
                  </w:pPr>
                  <w:r>
                    <w:rPr>
                      <w:rFonts w:hint="eastAsia"/>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2</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液压打包机</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Y81F/T-2500C</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3</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8T电磁铁轨行吊</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bCs/>
                      <w:sz w:val="21"/>
                      <w:szCs w:val="21"/>
                    </w:rPr>
                    <w:t>/</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4</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抓钢机</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bCs/>
                      <w:sz w:val="21"/>
                      <w:szCs w:val="21"/>
                    </w:rPr>
                    <w:t>/</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5</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电磁吸盘</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6</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台式光谱仪</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7</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手持式光谱仪</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8</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辐射检测仪</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9</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运输车辆</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辆</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10</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电子磅</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w:t>
                  </w:r>
                </w:p>
              </w:tc>
              <w:tc>
                <w:tcPr>
                  <w:tcW w:w="621" w:type="pct"/>
                  <w:vAlign w:val="center"/>
                </w:tcPr>
                <w:p>
                  <w:pPr>
                    <w:spacing w:line="240" w:lineRule="auto"/>
                    <w:ind w:firstLine="0" w:firstLineChars="0"/>
                    <w:contextualSpacing/>
                    <w:jc w:val="center"/>
                    <w:rPr>
                      <w:bCs/>
                      <w:sz w:val="21"/>
                      <w:szCs w:val="21"/>
                    </w:rPr>
                  </w:pPr>
                  <w:r>
                    <w:rPr>
                      <w:rFonts w:hint="eastAsia"/>
                      <w:bCs/>
                      <w:sz w:val="21"/>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8" w:type="pct"/>
                  <w:vAlign w:val="center"/>
                </w:tcPr>
                <w:p>
                  <w:pPr>
                    <w:spacing w:line="240" w:lineRule="auto"/>
                    <w:ind w:firstLine="0" w:firstLineChars="0"/>
                    <w:contextualSpacing/>
                    <w:jc w:val="center"/>
                    <w:rPr>
                      <w:bCs/>
                      <w:sz w:val="21"/>
                      <w:szCs w:val="21"/>
                    </w:rPr>
                  </w:pPr>
                  <w:r>
                    <w:rPr>
                      <w:rFonts w:hint="eastAsia"/>
                      <w:bCs/>
                      <w:sz w:val="21"/>
                      <w:szCs w:val="21"/>
                    </w:rPr>
                    <w:t>11</w:t>
                  </w:r>
                </w:p>
              </w:tc>
              <w:tc>
                <w:tcPr>
                  <w:tcW w:w="1422" w:type="pct"/>
                  <w:vAlign w:val="center"/>
                </w:tcPr>
                <w:p>
                  <w:pPr>
                    <w:spacing w:line="240" w:lineRule="auto"/>
                    <w:ind w:firstLine="0" w:firstLineChars="0"/>
                    <w:contextualSpacing/>
                    <w:jc w:val="center"/>
                    <w:rPr>
                      <w:bCs/>
                      <w:sz w:val="21"/>
                      <w:szCs w:val="21"/>
                    </w:rPr>
                  </w:pPr>
                  <w:r>
                    <w:rPr>
                      <w:rFonts w:hint="eastAsia"/>
                      <w:bCs/>
                      <w:sz w:val="21"/>
                      <w:szCs w:val="21"/>
                    </w:rPr>
                    <w:t>叉车</w:t>
                  </w:r>
                </w:p>
              </w:tc>
              <w:tc>
                <w:tcPr>
                  <w:tcW w:w="487" w:type="pct"/>
                  <w:vAlign w:val="center"/>
                </w:tcPr>
                <w:p>
                  <w:pPr>
                    <w:spacing w:line="240" w:lineRule="auto"/>
                    <w:ind w:firstLine="0" w:firstLineChars="0"/>
                    <w:contextualSpacing/>
                    <w:jc w:val="center"/>
                    <w:rPr>
                      <w:bCs/>
                      <w:sz w:val="21"/>
                      <w:szCs w:val="21"/>
                    </w:rPr>
                  </w:pPr>
                  <w:r>
                    <w:rPr>
                      <w:rFonts w:hint="eastAsia"/>
                      <w:bCs/>
                      <w:sz w:val="21"/>
                      <w:szCs w:val="21"/>
                    </w:rPr>
                    <w:t>台</w:t>
                  </w:r>
                </w:p>
              </w:tc>
              <w:tc>
                <w:tcPr>
                  <w:tcW w:w="1839" w:type="pct"/>
                  <w:vAlign w:val="center"/>
                </w:tcPr>
                <w:p>
                  <w:pPr>
                    <w:spacing w:line="240" w:lineRule="auto"/>
                    <w:ind w:firstLine="0" w:firstLineChars="0"/>
                    <w:contextualSpacing/>
                    <w:jc w:val="center"/>
                    <w:rPr>
                      <w:bCs/>
                      <w:sz w:val="21"/>
                      <w:szCs w:val="21"/>
                    </w:rPr>
                  </w:pPr>
                  <w:r>
                    <w:rPr>
                      <w:rFonts w:hint="eastAsia"/>
                      <w:bCs/>
                      <w:sz w:val="21"/>
                      <w:szCs w:val="21"/>
                    </w:rPr>
                    <w:t>/</w:t>
                  </w:r>
                </w:p>
              </w:tc>
              <w:tc>
                <w:tcPr>
                  <w:tcW w:w="621" w:type="pct"/>
                  <w:vAlign w:val="center"/>
                </w:tcPr>
                <w:p>
                  <w:pPr>
                    <w:spacing w:line="240" w:lineRule="auto"/>
                    <w:ind w:firstLine="0" w:firstLineChars="0"/>
                    <w:contextualSpacing/>
                    <w:jc w:val="center"/>
                    <w:rPr>
                      <w:sz w:val="21"/>
                      <w:szCs w:val="21"/>
                    </w:rPr>
                  </w:pPr>
                  <w:r>
                    <w:rPr>
                      <w:rFonts w:hint="eastAsia"/>
                      <w:sz w:val="21"/>
                      <w:szCs w:val="21"/>
                    </w:rPr>
                    <w:t>2</w:t>
                  </w:r>
                </w:p>
              </w:tc>
            </w:tr>
          </w:tbl>
          <w:p>
            <w:pPr>
              <w:spacing w:before="120" w:beforeLines="50" w:line="240" w:lineRule="auto"/>
              <w:ind w:firstLine="0" w:firstLineChars="0"/>
              <w:jc w:val="center"/>
              <w:rPr>
                <w:b/>
                <w:bCs/>
                <w:sz w:val="21"/>
                <w:szCs w:val="21"/>
              </w:rPr>
            </w:pPr>
            <w:r>
              <w:rPr>
                <w:rFonts w:hint="eastAsia"/>
                <w:b/>
                <w:bCs/>
                <w:sz w:val="21"/>
                <w:szCs w:val="21"/>
              </w:rPr>
              <w:t>表2-4  液压龙门剪切机技术参数</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85"/>
              <w:gridCol w:w="979"/>
              <w:gridCol w:w="911"/>
              <w:gridCol w:w="934"/>
              <w:gridCol w:w="660"/>
              <w:gridCol w:w="671"/>
              <w:gridCol w:w="672"/>
              <w:gridCol w:w="911"/>
              <w:gridCol w:w="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dxa"/>
                  <w:vMerge w:val="restart"/>
                  <w:tcBorders>
                    <w:top w:val="single" w:color="auto" w:sz="12" w:space="0"/>
                    <w:left w:val="nil"/>
                    <w:bottom w:val="single" w:color="auto" w:sz="4"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型号</w:t>
                  </w:r>
                </w:p>
              </w:tc>
              <w:tc>
                <w:tcPr>
                  <w:tcW w:w="790" w:type="dxa"/>
                  <w:vMerge w:val="restar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最大剪切力（T）</w:t>
                  </w:r>
                </w:p>
              </w:tc>
              <w:tc>
                <w:tcPr>
                  <w:tcW w:w="985" w:type="dxa"/>
                  <w:vMerge w:val="restar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料箱</w:t>
                  </w:r>
                </w:p>
                <w:p>
                  <w:pPr>
                    <w:spacing w:line="240" w:lineRule="auto"/>
                    <w:ind w:firstLine="0" w:firstLineChars="0"/>
                    <w:contextualSpacing/>
                    <w:jc w:val="center"/>
                    <w:rPr>
                      <w:b/>
                      <w:sz w:val="21"/>
                      <w:szCs w:val="21"/>
                    </w:rPr>
                  </w:pPr>
                  <w:r>
                    <w:rPr>
                      <w:rFonts w:hint="eastAsia"/>
                      <w:b/>
                      <w:sz w:val="21"/>
                      <w:szCs w:val="21"/>
                    </w:rPr>
                    <w:t>尺寸</w:t>
                  </w:r>
                </w:p>
                <w:p>
                  <w:pPr>
                    <w:spacing w:line="240" w:lineRule="auto"/>
                    <w:ind w:firstLine="0" w:firstLineChars="0"/>
                    <w:contextualSpacing/>
                    <w:jc w:val="center"/>
                    <w:rPr>
                      <w:b/>
                      <w:sz w:val="21"/>
                      <w:szCs w:val="21"/>
                    </w:rPr>
                  </w:pPr>
                  <w:r>
                    <w:rPr>
                      <w:rFonts w:hint="eastAsia"/>
                      <w:b/>
                      <w:sz w:val="21"/>
                      <w:szCs w:val="21"/>
                    </w:rPr>
                    <w:t>（mm）</w:t>
                  </w:r>
                </w:p>
              </w:tc>
              <w:tc>
                <w:tcPr>
                  <w:tcW w:w="916" w:type="dxa"/>
                  <w:vMerge w:val="restar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开口</w:t>
                  </w:r>
                </w:p>
                <w:p>
                  <w:pPr>
                    <w:spacing w:line="240" w:lineRule="auto"/>
                    <w:ind w:firstLine="0" w:firstLineChars="0"/>
                    <w:contextualSpacing/>
                    <w:jc w:val="center"/>
                    <w:rPr>
                      <w:b/>
                      <w:sz w:val="21"/>
                      <w:szCs w:val="21"/>
                    </w:rPr>
                  </w:pPr>
                  <w:r>
                    <w:rPr>
                      <w:rFonts w:hint="eastAsia"/>
                      <w:b/>
                      <w:sz w:val="21"/>
                      <w:szCs w:val="21"/>
                    </w:rPr>
                    <w:t>高度（mm）</w:t>
                  </w:r>
                </w:p>
              </w:tc>
              <w:tc>
                <w:tcPr>
                  <w:tcW w:w="939" w:type="dxa"/>
                  <w:vMerge w:val="restar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刀口</w:t>
                  </w:r>
                </w:p>
                <w:p>
                  <w:pPr>
                    <w:spacing w:line="240" w:lineRule="auto"/>
                    <w:ind w:firstLine="0" w:firstLineChars="0"/>
                    <w:contextualSpacing/>
                    <w:jc w:val="center"/>
                    <w:rPr>
                      <w:b/>
                      <w:sz w:val="21"/>
                      <w:szCs w:val="21"/>
                    </w:rPr>
                  </w:pPr>
                  <w:r>
                    <w:rPr>
                      <w:rFonts w:hint="eastAsia"/>
                      <w:b/>
                      <w:sz w:val="21"/>
                      <w:szCs w:val="21"/>
                    </w:rPr>
                    <w:t>长度（mm）</w:t>
                  </w:r>
                </w:p>
              </w:tc>
              <w:tc>
                <w:tcPr>
                  <w:tcW w:w="2015" w:type="dxa"/>
                  <w:gridSpan w:val="3"/>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剪切能力（mm）</w:t>
                  </w:r>
                </w:p>
              </w:tc>
              <w:tc>
                <w:tcPr>
                  <w:tcW w:w="916" w:type="dxa"/>
                  <w:vMerge w:val="restar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产量（T/h）</w:t>
                  </w:r>
                </w:p>
              </w:tc>
              <w:tc>
                <w:tcPr>
                  <w:tcW w:w="893" w:type="dxa"/>
                  <w:vMerge w:val="restart"/>
                  <w:tcBorders>
                    <w:top w:val="single" w:color="auto" w:sz="12" w:space="0"/>
                    <w:left w:val="single" w:color="auto" w:sz="4" w:space="0"/>
                    <w:bottom w:val="single" w:color="auto" w:sz="4" w:space="0"/>
                    <w:right w:val="nil"/>
                  </w:tcBorders>
                  <w:vAlign w:val="center"/>
                </w:tcPr>
                <w:p>
                  <w:pPr>
                    <w:spacing w:line="240" w:lineRule="auto"/>
                    <w:ind w:firstLine="0" w:firstLineChars="0"/>
                    <w:contextualSpacing/>
                    <w:jc w:val="center"/>
                    <w:rPr>
                      <w:b/>
                      <w:sz w:val="21"/>
                      <w:szCs w:val="21"/>
                    </w:rPr>
                  </w:pPr>
                  <w:r>
                    <w:rPr>
                      <w:rFonts w:hint="eastAsia"/>
                      <w:b/>
                      <w:sz w:val="21"/>
                      <w:szCs w:val="21"/>
                    </w:rPr>
                    <w:t>剪切</w:t>
                  </w:r>
                </w:p>
                <w:p>
                  <w:pPr>
                    <w:spacing w:line="240" w:lineRule="auto"/>
                    <w:ind w:firstLine="0" w:firstLineChars="0"/>
                    <w:contextualSpacing/>
                    <w:jc w:val="center"/>
                    <w:rPr>
                      <w:b/>
                      <w:sz w:val="21"/>
                      <w:szCs w:val="21"/>
                    </w:rPr>
                  </w:pPr>
                  <w:r>
                    <w:rPr>
                      <w:rFonts w:hint="eastAsia"/>
                      <w:b/>
                      <w:sz w:val="21"/>
                      <w:szCs w:val="21"/>
                    </w:rPr>
                    <w:t>频率</w:t>
                  </w:r>
                </w:p>
                <w:p>
                  <w:pPr>
                    <w:spacing w:line="240" w:lineRule="auto"/>
                    <w:ind w:firstLine="0" w:firstLineChars="0"/>
                    <w:contextualSpacing/>
                    <w:jc w:val="center"/>
                    <w:rPr>
                      <w:b/>
                      <w:sz w:val="21"/>
                      <w:szCs w:val="21"/>
                    </w:rPr>
                  </w:pPr>
                  <w:r>
                    <w:rPr>
                      <w:rFonts w:hint="eastAsia"/>
                      <w:b/>
                      <w:sz w:val="21"/>
                      <w:szCs w:val="21"/>
                    </w:rPr>
                    <w:t>次/分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603" w:type="dxa"/>
                  <w:vMerge w:val="continue"/>
                  <w:tcBorders>
                    <w:top w:val="single" w:color="auto" w:sz="4" w:space="0"/>
                    <w:left w:val="nil"/>
                    <w:bottom w:val="single" w:color="auto" w:sz="12" w:space="0"/>
                    <w:right w:val="single" w:color="auto" w:sz="4" w:space="0"/>
                  </w:tcBorders>
                  <w:vAlign w:val="center"/>
                </w:tcPr>
                <w:p>
                  <w:pPr>
                    <w:spacing w:line="240" w:lineRule="auto"/>
                    <w:ind w:firstLine="0" w:firstLineChars="0"/>
                    <w:contextualSpacing/>
                    <w:jc w:val="center"/>
                    <w:rPr>
                      <w:bCs/>
                      <w:sz w:val="21"/>
                      <w:szCs w:val="21"/>
                    </w:rPr>
                  </w:pPr>
                </w:p>
              </w:tc>
              <w:tc>
                <w:tcPr>
                  <w:tcW w:w="790" w:type="dxa"/>
                  <w:vMerge w:val="continue"/>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p>
              </w:tc>
              <w:tc>
                <w:tcPr>
                  <w:tcW w:w="985" w:type="dxa"/>
                  <w:vMerge w:val="continue"/>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p>
              </w:tc>
              <w:tc>
                <w:tcPr>
                  <w:tcW w:w="916" w:type="dxa"/>
                  <w:vMerge w:val="continue"/>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p>
              </w:tc>
              <w:tc>
                <w:tcPr>
                  <w:tcW w:w="939" w:type="dxa"/>
                  <w:vMerge w:val="continue"/>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p>
              </w:tc>
              <w:tc>
                <w:tcPr>
                  <w:tcW w:w="664"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圆钢</w:t>
                  </w:r>
                </w:p>
              </w:tc>
              <w:tc>
                <w:tcPr>
                  <w:tcW w:w="675"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方钢</w:t>
                  </w:r>
                </w:p>
              </w:tc>
              <w:tc>
                <w:tcPr>
                  <w:tcW w:w="676"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
                      <w:sz w:val="21"/>
                      <w:szCs w:val="21"/>
                    </w:rPr>
                  </w:pPr>
                  <w:r>
                    <w:rPr>
                      <w:rFonts w:hint="eastAsia"/>
                      <w:b/>
                      <w:sz w:val="21"/>
                      <w:szCs w:val="21"/>
                    </w:rPr>
                    <w:t>钢板</w:t>
                  </w:r>
                </w:p>
              </w:tc>
              <w:tc>
                <w:tcPr>
                  <w:tcW w:w="916" w:type="dxa"/>
                  <w:vMerge w:val="continue"/>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p>
              </w:tc>
              <w:tc>
                <w:tcPr>
                  <w:tcW w:w="893" w:type="dxa"/>
                  <w:vMerge w:val="continue"/>
                  <w:tcBorders>
                    <w:top w:val="single" w:color="auto" w:sz="4" w:space="0"/>
                    <w:left w:val="single" w:color="auto" w:sz="4" w:space="0"/>
                    <w:bottom w:val="single" w:color="auto" w:sz="12" w:space="0"/>
                    <w:right w:val="nil"/>
                  </w:tcBorders>
                  <w:vAlign w:val="center"/>
                </w:tcPr>
                <w:p>
                  <w:pPr>
                    <w:spacing w:line="240" w:lineRule="auto"/>
                    <w:ind w:firstLine="0" w:firstLineChars="0"/>
                    <w:contextualSpacing/>
                    <w:jc w:val="center"/>
                    <w:rPr>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 w:type="dxa"/>
                  <w:tcBorders>
                    <w:top w:val="single" w:color="auto" w:sz="12" w:space="0"/>
                    <w:left w:val="nil"/>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Q91Y-1000</w:t>
                  </w:r>
                </w:p>
              </w:tc>
              <w:tc>
                <w:tcPr>
                  <w:tcW w:w="790" w:type="dxa"/>
                  <w:tcBorders>
                    <w:top w:val="single" w:color="auto" w:sz="12"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1000</w:t>
                  </w:r>
                </w:p>
              </w:tc>
              <w:tc>
                <w:tcPr>
                  <w:tcW w:w="985" w:type="dxa"/>
                  <w:tcBorders>
                    <w:top w:val="single" w:color="auto" w:sz="12"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8000×2000×1200</w:t>
                  </w:r>
                </w:p>
              </w:tc>
              <w:tc>
                <w:tcPr>
                  <w:tcW w:w="916" w:type="dxa"/>
                  <w:tcBorders>
                    <w:top w:val="single" w:color="auto" w:sz="12"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700</w:t>
                  </w:r>
                </w:p>
              </w:tc>
              <w:tc>
                <w:tcPr>
                  <w:tcW w:w="939" w:type="dxa"/>
                  <w:tcBorders>
                    <w:top w:val="single" w:color="auto" w:sz="12"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2000</w:t>
                  </w:r>
                </w:p>
              </w:tc>
              <w:tc>
                <w:tcPr>
                  <w:tcW w:w="664" w:type="dxa"/>
                  <w:tcBorders>
                    <w:top w:val="single" w:color="auto" w:sz="12"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180</w:t>
                  </w:r>
                </w:p>
              </w:tc>
              <w:tc>
                <w:tcPr>
                  <w:tcW w:w="675" w:type="dxa"/>
                  <w:tcBorders>
                    <w:top w:val="single" w:color="auto" w:sz="12"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150×150</w:t>
                  </w:r>
                </w:p>
              </w:tc>
              <w:tc>
                <w:tcPr>
                  <w:tcW w:w="676" w:type="dxa"/>
                  <w:tcBorders>
                    <w:top w:val="single" w:color="auto" w:sz="12"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80×1900</w:t>
                  </w:r>
                </w:p>
              </w:tc>
              <w:tc>
                <w:tcPr>
                  <w:tcW w:w="916" w:type="dxa"/>
                  <w:tcBorders>
                    <w:top w:val="single" w:color="auto" w:sz="12" w:space="0"/>
                    <w:left w:val="single" w:color="auto" w:sz="4" w:space="0"/>
                    <w:bottom w:val="single" w:color="auto" w:sz="12" w:space="0"/>
                    <w:right w:val="single" w:color="auto" w:sz="4" w:space="0"/>
                  </w:tcBorders>
                  <w:vAlign w:val="center"/>
                </w:tcPr>
                <w:p>
                  <w:pPr>
                    <w:spacing w:line="240" w:lineRule="auto"/>
                    <w:ind w:firstLine="0" w:firstLineChars="0"/>
                    <w:contextualSpacing/>
                    <w:jc w:val="center"/>
                    <w:rPr>
                      <w:bCs/>
                      <w:sz w:val="21"/>
                      <w:szCs w:val="21"/>
                    </w:rPr>
                  </w:pPr>
                  <w:r>
                    <w:rPr>
                      <w:rFonts w:hint="eastAsia"/>
                      <w:bCs/>
                      <w:sz w:val="21"/>
                      <w:szCs w:val="21"/>
                    </w:rPr>
                    <w:t>20-</w:t>
                  </w:r>
                </w:p>
                <w:p>
                  <w:pPr>
                    <w:spacing w:line="240" w:lineRule="auto"/>
                    <w:ind w:firstLine="0" w:firstLineChars="0"/>
                    <w:contextualSpacing/>
                    <w:jc w:val="center"/>
                    <w:rPr>
                      <w:bCs/>
                      <w:sz w:val="21"/>
                      <w:szCs w:val="21"/>
                    </w:rPr>
                  </w:pPr>
                  <w:r>
                    <w:rPr>
                      <w:rFonts w:hint="eastAsia"/>
                      <w:bCs/>
                      <w:sz w:val="21"/>
                      <w:szCs w:val="21"/>
                    </w:rPr>
                    <w:t>25</w:t>
                  </w:r>
                </w:p>
              </w:tc>
              <w:tc>
                <w:tcPr>
                  <w:tcW w:w="893" w:type="dxa"/>
                  <w:tcBorders>
                    <w:top w:val="single" w:color="auto" w:sz="12" w:space="0"/>
                    <w:left w:val="single" w:color="auto" w:sz="4" w:space="0"/>
                    <w:bottom w:val="single" w:color="auto" w:sz="12" w:space="0"/>
                    <w:right w:val="nil"/>
                  </w:tcBorders>
                  <w:vAlign w:val="center"/>
                </w:tcPr>
                <w:p>
                  <w:pPr>
                    <w:spacing w:line="240" w:lineRule="auto"/>
                    <w:ind w:firstLine="0" w:firstLineChars="0"/>
                    <w:contextualSpacing/>
                    <w:jc w:val="center"/>
                    <w:rPr>
                      <w:bCs/>
                      <w:sz w:val="21"/>
                      <w:szCs w:val="21"/>
                    </w:rPr>
                  </w:pPr>
                  <w:r>
                    <w:rPr>
                      <w:rFonts w:hint="eastAsia"/>
                      <w:bCs/>
                      <w:sz w:val="21"/>
                      <w:szCs w:val="21"/>
                    </w:rPr>
                    <w:t>4-5</w:t>
                  </w:r>
                </w:p>
              </w:tc>
            </w:tr>
          </w:tbl>
          <w:p>
            <w:pPr>
              <w:spacing w:before="120" w:beforeLines="50" w:line="240" w:lineRule="auto"/>
              <w:ind w:firstLine="0" w:firstLineChars="0"/>
              <w:jc w:val="center"/>
              <w:rPr>
                <w:b/>
                <w:bCs/>
                <w:sz w:val="21"/>
                <w:szCs w:val="21"/>
              </w:rPr>
            </w:pPr>
            <w:r>
              <w:rPr>
                <w:rFonts w:hint="eastAsia"/>
                <w:b/>
                <w:bCs/>
                <w:sz w:val="21"/>
                <w:szCs w:val="21"/>
              </w:rPr>
              <w:t>表2-5  液压打包机技术参数</w:t>
            </w:r>
          </w:p>
          <w:tbl>
            <w:tblPr>
              <w:tblStyle w:val="35"/>
              <w:tblW w:w="80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862"/>
              <w:gridCol w:w="2096"/>
              <w:gridCol w:w="1202"/>
              <w:gridCol w:w="1393"/>
              <w:gridCol w:w="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6" w:type="dxa"/>
                  <w:tcBorders>
                    <w:top w:val="single" w:color="auto" w:sz="12" w:space="0"/>
                    <w:left w:val="nil"/>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型号</w:t>
                  </w:r>
                </w:p>
              </w:tc>
              <w:tc>
                <w:tcPr>
                  <w:tcW w:w="862" w:type="dxa"/>
                  <w:tcBorders>
                    <w:top w:val="single" w:color="auto" w:sz="12" w:space="0"/>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公称力（KN）</w:t>
                  </w:r>
                </w:p>
              </w:tc>
              <w:tc>
                <w:tcPr>
                  <w:tcW w:w="2096" w:type="dxa"/>
                  <w:tcBorders>
                    <w:top w:val="single" w:color="auto" w:sz="12" w:space="0"/>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料箱尺寸</w:t>
                  </w:r>
                </w:p>
                <w:p>
                  <w:pPr>
                    <w:spacing w:line="240" w:lineRule="auto"/>
                    <w:ind w:firstLine="0" w:firstLineChars="0"/>
                    <w:contextualSpacing/>
                    <w:jc w:val="center"/>
                    <w:rPr>
                      <w:b/>
                      <w:sz w:val="21"/>
                      <w:szCs w:val="21"/>
                    </w:rPr>
                  </w:pPr>
                  <w:r>
                    <w:rPr>
                      <w:rFonts w:hint="eastAsia"/>
                      <w:b/>
                      <w:sz w:val="21"/>
                      <w:szCs w:val="21"/>
                    </w:rPr>
                    <w:t>（mm）</w:t>
                  </w:r>
                </w:p>
              </w:tc>
              <w:tc>
                <w:tcPr>
                  <w:tcW w:w="1202" w:type="dxa"/>
                  <w:tcBorders>
                    <w:top w:val="single" w:color="auto" w:sz="12" w:space="0"/>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包块截面（mm）</w:t>
                  </w:r>
                </w:p>
              </w:tc>
              <w:tc>
                <w:tcPr>
                  <w:tcW w:w="1393" w:type="dxa"/>
                  <w:tcBorders>
                    <w:top w:val="single" w:color="auto" w:sz="12" w:space="0"/>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配用</w:t>
                  </w:r>
                </w:p>
                <w:p>
                  <w:pPr>
                    <w:spacing w:line="240" w:lineRule="auto"/>
                    <w:ind w:firstLine="0" w:firstLineChars="0"/>
                    <w:contextualSpacing/>
                    <w:jc w:val="center"/>
                    <w:rPr>
                      <w:b/>
                      <w:sz w:val="21"/>
                      <w:szCs w:val="21"/>
                    </w:rPr>
                  </w:pPr>
                  <w:r>
                    <w:rPr>
                      <w:rFonts w:hint="eastAsia"/>
                      <w:b/>
                      <w:sz w:val="21"/>
                      <w:szCs w:val="21"/>
                    </w:rPr>
                    <w:t>功率（KW）</w:t>
                  </w:r>
                </w:p>
              </w:tc>
              <w:tc>
                <w:tcPr>
                  <w:tcW w:w="892" w:type="dxa"/>
                  <w:tcBorders>
                    <w:top w:val="single" w:color="auto" w:sz="12" w:space="0"/>
                    <w:bottom w:val="single" w:color="auto" w:sz="12" w:space="0"/>
                    <w:right w:val="nil"/>
                  </w:tcBorders>
                  <w:vAlign w:val="center"/>
                </w:tcPr>
                <w:p>
                  <w:pPr>
                    <w:spacing w:line="240" w:lineRule="auto"/>
                    <w:ind w:firstLine="0" w:firstLineChars="0"/>
                    <w:contextualSpacing/>
                    <w:jc w:val="center"/>
                    <w:rPr>
                      <w:b/>
                      <w:sz w:val="21"/>
                      <w:szCs w:val="21"/>
                    </w:rPr>
                  </w:pPr>
                  <w:r>
                    <w:rPr>
                      <w:rFonts w:hint="eastAsia"/>
                      <w:b/>
                      <w:sz w:val="21"/>
                      <w:szCs w:val="21"/>
                    </w:rPr>
                    <w:t>产量（T）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6" w:type="dxa"/>
                  <w:tcBorders>
                    <w:top w:val="single" w:color="auto" w:sz="12" w:space="0"/>
                    <w:left w:val="nil"/>
                    <w:bottom w:val="single" w:color="auto" w:sz="12" w:space="0"/>
                  </w:tcBorders>
                  <w:vAlign w:val="center"/>
                </w:tcPr>
                <w:p>
                  <w:pPr>
                    <w:spacing w:line="240" w:lineRule="auto"/>
                    <w:ind w:firstLine="0" w:firstLineChars="0"/>
                    <w:contextualSpacing/>
                    <w:jc w:val="center"/>
                    <w:rPr>
                      <w:bCs/>
                      <w:sz w:val="21"/>
                      <w:szCs w:val="21"/>
                    </w:rPr>
                  </w:pPr>
                  <w:r>
                    <w:rPr>
                      <w:rFonts w:hint="eastAsia"/>
                      <w:bCs/>
                      <w:sz w:val="21"/>
                      <w:szCs w:val="21"/>
                    </w:rPr>
                    <w:t>Y81F/T-2500C</w:t>
                  </w:r>
                </w:p>
              </w:tc>
              <w:tc>
                <w:tcPr>
                  <w:tcW w:w="862" w:type="dxa"/>
                  <w:tcBorders>
                    <w:top w:val="single" w:color="auto" w:sz="12" w:space="0"/>
                    <w:bottom w:val="single" w:color="auto" w:sz="12" w:space="0"/>
                  </w:tcBorders>
                  <w:vAlign w:val="center"/>
                </w:tcPr>
                <w:p>
                  <w:pPr>
                    <w:spacing w:line="240" w:lineRule="auto"/>
                    <w:ind w:firstLine="0" w:firstLineChars="0"/>
                    <w:contextualSpacing/>
                    <w:jc w:val="center"/>
                    <w:rPr>
                      <w:bCs/>
                      <w:sz w:val="21"/>
                      <w:szCs w:val="21"/>
                    </w:rPr>
                  </w:pPr>
                  <w:r>
                    <w:rPr>
                      <w:rFonts w:hint="eastAsia"/>
                      <w:bCs/>
                      <w:sz w:val="21"/>
                      <w:szCs w:val="21"/>
                    </w:rPr>
                    <w:t>2500</w:t>
                  </w:r>
                </w:p>
              </w:tc>
              <w:tc>
                <w:tcPr>
                  <w:tcW w:w="2096" w:type="dxa"/>
                  <w:tcBorders>
                    <w:top w:val="single" w:color="auto" w:sz="12" w:space="0"/>
                    <w:bottom w:val="single" w:color="auto" w:sz="12" w:space="0"/>
                  </w:tcBorders>
                  <w:vAlign w:val="center"/>
                </w:tcPr>
                <w:p>
                  <w:pPr>
                    <w:spacing w:line="240" w:lineRule="auto"/>
                    <w:ind w:firstLine="0" w:firstLineChars="0"/>
                    <w:contextualSpacing/>
                    <w:jc w:val="center"/>
                    <w:rPr>
                      <w:bCs/>
                      <w:sz w:val="21"/>
                      <w:szCs w:val="21"/>
                    </w:rPr>
                  </w:pPr>
                  <w:r>
                    <w:rPr>
                      <w:rFonts w:hint="eastAsia"/>
                      <w:bCs/>
                      <w:sz w:val="21"/>
                      <w:szCs w:val="21"/>
                    </w:rPr>
                    <w:t>2500×2000×1200</w:t>
                  </w:r>
                </w:p>
              </w:tc>
              <w:tc>
                <w:tcPr>
                  <w:tcW w:w="1202" w:type="dxa"/>
                  <w:tcBorders>
                    <w:top w:val="single" w:color="auto" w:sz="12" w:space="0"/>
                    <w:bottom w:val="single" w:color="auto" w:sz="12" w:space="0"/>
                  </w:tcBorders>
                  <w:vAlign w:val="center"/>
                </w:tcPr>
                <w:p>
                  <w:pPr>
                    <w:spacing w:line="240" w:lineRule="auto"/>
                    <w:ind w:firstLine="0" w:firstLineChars="0"/>
                    <w:contextualSpacing/>
                    <w:jc w:val="center"/>
                    <w:rPr>
                      <w:bCs/>
                      <w:sz w:val="21"/>
                      <w:szCs w:val="21"/>
                    </w:rPr>
                  </w:pPr>
                  <w:r>
                    <w:rPr>
                      <w:rFonts w:hint="eastAsia"/>
                      <w:bCs/>
                      <w:sz w:val="21"/>
                      <w:szCs w:val="21"/>
                    </w:rPr>
                    <w:t>600×600</w:t>
                  </w:r>
                </w:p>
              </w:tc>
              <w:tc>
                <w:tcPr>
                  <w:tcW w:w="1393" w:type="dxa"/>
                  <w:tcBorders>
                    <w:top w:val="single" w:color="auto" w:sz="12" w:space="0"/>
                    <w:bottom w:val="single" w:color="auto" w:sz="12" w:space="0"/>
                  </w:tcBorders>
                  <w:vAlign w:val="center"/>
                </w:tcPr>
                <w:p>
                  <w:pPr>
                    <w:spacing w:line="240" w:lineRule="auto"/>
                    <w:ind w:firstLine="0" w:firstLineChars="0"/>
                    <w:contextualSpacing/>
                    <w:jc w:val="center"/>
                    <w:rPr>
                      <w:bCs/>
                      <w:sz w:val="21"/>
                      <w:szCs w:val="21"/>
                    </w:rPr>
                  </w:pPr>
                  <w:r>
                    <w:rPr>
                      <w:rFonts w:hint="eastAsia"/>
                      <w:bCs/>
                      <w:sz w:val="21"/>
                      <w:szCs w:val="21"/>
                    </w:rPr>
                    <w:t>44/60</w:t>
                  </w:r>
                </w:p>
              </w:tc>
              <w:tc>
                <w:tcPr>
                  <w:tcW w:w="892" w:type="dxa"/>
                  <w:tcBorders>
                    <w:top w:val="single" w:color="auto" w:sz="12" w:space="0"/>
                    <w:bottom w:val="single" w:color="auto" w:sz="12" w:space="0"/>
                    <w:right w:val="nil"/>
                  </w:tcBorders>
                  <w:vAlign w:val="center"/>
                </w:tcPr>
                <w:p>
                  <w:pPr>
                    <w:spacing w:line="240" w:lineRule="auto"/>
                    <w:ind w:firstLine="0" w:firstLineChars="0"/>
                    <w:contextualSpacing/>
                    <w:jc w:val="center"/>
                    <w:rPr>
                      <w:bCs/>
                      <w:sz w:val="21"/>
                      <w:szCs w:val="21"/>
                    </w:rPr>
                  </w:pPr>
                  <w:r>
                    <w:rPr>
                      <w:rFonts w:hint="eastAsia"/>
                      <w:bCs/>
                      <w:sz w:val="21"/>
                      <w:szCs w:val="21"/>
                    </w:rPr>
                    <w:t>18-23</w:t>
                  </w:r>
                </w:p>
              </w:tc>
            </w:tr>
          </w:tbl>
          <w:p>
            <w:pPr>
              <w:ind w:firstLine="480"/>
            </w:pPr>
            <w:r>
              <w:rPr>
                <w:rFonts w:hint="eastAsia"/>
              </w:rPr>
              <w:t>生产能力校核：本项目年工作300天，一班制，每天工作8小时，全年工作2400小时。液压龙门剪切机生产能力20-25t/h，2400小时处理废旧特种金属4.8-6万吨；液压打包机生产能力18-23t/h，2400小时处理废旧特种金属4.32-5.52万吨。经校核，该设备满足年加工5万吨废旧特种金属的需求。</w:t>
            </w:r>
          </w:p>
          <w:p>
            <w:pPr>
              <w:pStyle w:val="4"/>
            </w:pPr>
            <w:r>
              <w:rPr>
                <w:rFonts w:hint="eastAsia"/>
              </w:rPr>
              <w:t>2.3原辅材料</w:t>
            </w:r>
          </w:p>
          <w:p>
            <w:pPr>
              <w:ind w:firstLine="480"/>
            </w:pPr>
            <w:r>
              <w:rPr>
                <w:rFonts w:hint="eastAsia"/>
              </w:rPr>
              <w:t>本项目加工5万吨废旧特种金属，如废模具钢、废不锈钢、废镍钢、废铬钢。本项目原辅材料及能耗见表2-6。</w:t>
            </w:r>
          </w:p>
          <w:p>
            <w:pPr>
              <w:spacing w:line="240" w:lineRule="auto"/>
              <w:ind w:firstLine="0" w:firstLineChars="0"/>
              <w:jc w:val="center"/>
              <w:rPr>
                <w:rFonts w:hint="eastAsia"/>
                <w:b/>
                <w:bCs/>
                <w:sz w:val="21"/>
                <w:szCs w:val="21"/>
              </w:rPr>
            </w:pPr>
          </w:p>
          <w:p>
            <w:pPr>
              <w:spacing w:line="240" w:lineRule="auto"/>
              <w:ind w:firstLine="0" w:firstLineChars="0"/>
              <w:jc w:val="center"/>
              <w:rPr>
                <w:b/>
                <w:bCs/>
                <w:sz w:val="21"/>
                <w:szCs w:val="21"/>
              </w:rPr>
            </w:pPr>
            <w:r>
              <w:rPr>
                <w:rFonts w:hint="eastAsia"/>
                <w:b/>
                <w:bCs/>
                <w:sz w:val="21"/>
                <w:szCs w:val="21"/>
              </w:rPr>
              <w:t>表2-6  原辅材料及能耗</w:t>
            </w:r>
          </w:p>
          <w:tbl>
            <w:tblPr>
              <w:tblStyle w:val="35"/>
              <w:tblW w:w="492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1156"/>
              <w:gridCol w:w="1811"/>
              <w:gridCol w:w="4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Borders>
                    <w:top w:val="single" w:color="auto" w:sz="12" w:space="0"/>
                    <w:left w:val="nil"/>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序号</w:t>
                  </w:r>
                </w:p>
              </w:tc>
              <w:tc>
                <w:tcPr>
                  <w:tcW w:w="1157" w:type="dxa"/>
                  <w:tcBorders>
                    <w:top w:val="single" w:color="auto" w:sz="12" w:space="0"/>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产品名称</w:t>
                  </w:r>
                </w:p>
              </w:tc>
              <w:tc>
                <w:tcPr>
                  <w:tcW w:w="1813" w:type="dxa"/>
                  <w:tcBorders>
                    <w:top w:val="single" w:color="auto" w:sz="12" w:space="0"/>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年用量</w:t>
                  </w:r>
                </w:p>
              </w:tc>
              <w:tc>
                <w:tcPr>
                  <w:tcW w:w="4145" w:type="dxa"/>
                  <w:tcBorders>
                    <w:top w:val="single" w:color="auto" w:sz="12" w:space="0"/>
                    <w:bottom w:val="single" w:color="auto" w:sz="12" w:space="0"/>
                    <w:right w:val="nil"/>
                  </w:tcBorders>
                  <w:vAlign w:val="center"/>
                </w:tcPr>
                <w:p>
                  <w:pPr>
                    <w:spacing w:line="240" w:lineRule="auto"/>
                    <w:ind w:firstLine="0" w:firstLineChars="0"/>
                    <w:contextualSpacing/>
                    <w:jc w:val="center"/>
                    <w:rPr>
                      <w:b/>
                      <w:sz w:val="21"/>
                      <w:szCs w:val="21"/>
                    </w:rPr>
                  </w:pPr>
                  <w:r>
                    <w:rPr>
                      <w:rFonts w:hint="eastAsia"/>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Borders>
                    <w:top w:val="single" w:color="auto" w:sz="12" w:space="0"/>
                    <w:left w:val="nil"/>
                  </w:tcBorders>
                  <w:vAlign w:val="center"/>
                </w:tcPr>
                <w:p>
                  <w:pPr>
                    <w:spacing w:line="240" w:lineRule="auto"/>
                    <w:ind w:firstLine="0" w:firstLineChars="0"/>
                    <w:contextualSpacing/>
                    <w:jc w:val="center"/>
                    <w:rPr>
                      <w:bCs/>
                      <w:sz w:val="21"/>
                      <w:szCs w:val="21"/>
                    </w:rPr>
                  </w:pPr>
                  <w:r>
                    <w:rPr>
                      <w:rFonts w:hint="eastAsia"/>
                      <w:bCs/>
                      <w:sz w:val="21"/>
                      <w:szCs w:val="21"/>
                    </w:rPr>
                    <w:t>1</w:t>
                  </w:r>
                </w:p>
              </w:tc>
              <w:tc>
                <w:tcPr>
                  <w:tcW w:w="1157" w:type="dxa"/>
                  <w:tcBorders>
                    <w:top w:val="single" w:color="auto" w:sz="12" w:space="0"/>
                  </w:tcBorders>
                  <w:vAlign w:val="center"/>
                </w:tcPr>
                <w:p>
                  <w:pPr>
                    <w:spacing w:line="240" w:lineRule="auto"/>
                    <w:ind w:firstLine="0" w:firstLineChars="0"/>
                    <w:contextualSpacing/>
                    <w:jc w:val="center"/>
                    <w:rPr>
                      <w:bCs/>
                      <w:sz w:val="21"/>
                      <w:szCs w:val="21"/>
                    </w:rPr>
                  </w:pPr>
                  <w:r>
                    <w:rPr>
                      <w:rFonts w:hint="eastAsia"/>
                      <w:bCs/>
                      <w:sz w:val="21"/>
                      <w:szCs w:val="21"/>
                    </w:rPr>
                    <w:t>废旧特种金属</w:t>
                  </w:r>
                </w:p>
              </w:tc>
              <w:tc>
                <w:tcPr>
                  <w:tcW w:w="1813" w:type="dxa"/>
                  <w:tcBorders>
                    <w:top w:val="single" w:color="auto" w:sz="12" w:space="0"/>
                  </w:tcBorders>
                  <w:vAlign w:val="center"/>
                </w:tcPr>
                <w:p>
                  <w:pPr>
                    <w:spacing w:line="240" w:lineRule="auto"/>
                    <w:ind w:firstLine="0" w:firstLineChars="0"/>
                    <w:contextualSpacing/>
                    <w:jc w:val="center"/>
                    <w:rPr>
                      <w:bCs/>
                      <w:sz w:val="21"/>
                      <w:szCs w:val="21"/>
                    </w:rPr>
                  </w:pPr>
                  <w:r>
                    <w:rPr>
                      <w:rFonts w:hint="eastAsia"/>
                      <w:bCs/>
                      <w:sz w:val="21"/>
                      <w:szCs w:val="21"/>
                    </w:rPr>
                    <w:t>5万</w:t>
                  </w:r>
                  <w:r>
                    <w:rPr>
                      <w:bCs/>
                      <w:sz w:val="21"/>
                      <w:szCs w:val="21"/>
                    </w:rPr>
                    <w:t>t/a</w:t>
                  </w:r>
                </w:p>
              </w:tc>
              <w:tc>
                <w:tcPr>
                  <w:tcW w:w="4145" w:type="dxa"/>
                  <w:tcBorders>
                    <w:top w:val="single" w:color="auto" w:sz="12" w:space="0"/>
                    <w:right w:val="nil"/>
                  </w:tcBorders>
                  <w:vAlign w:val="center"/>
                </w:tcPr>
                <w:p>
                  <w:pPr>
                    <w:spacing w:line="240" w:lineRule="auto"/>
                    <w:ind w:firstLine="0" w:firstLineChars="0"/>
                    <w:contextualSpacing/>
                    <w:jc w:val="center"/>
                    <w:rPr>
                      <w:bCs/>
                      <w:sz w:val="21"/>
                      <w:szCs w:val="21"/>
                    </w:rPr>
                  </w:pPr>
                  <w:r>
                    <w:rPr>
                      <w:rFonts w:hint="eastAsia"/>
                      <w:bCs/>
                      <w:sz w:val="21"/>
                      <w:szCs w:val="21"/>
                    </w:rPr>
                    <w:t>向周边机加工厂收集尺寸≤1m的销子，采用吨包方式运输，厂区最大储存量为5kg。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Borders>
                    <w:left w:val="nil"/>
                  </w:tcBorders>
                  <w:vAlign w:val="center"/>
                </w:tcPr>
                <w:p>
                  <w:pPr>
                    <w:spacing w:line="240" w:lineRule="auto"/>
                    <w:ind w:firstLine="0" w:firstLineChars="0"/>
                    <w:contextualSpacing/>
                    <w:jc w:val="center"/>
                    <w:rPr>
                      <w:bCs/>
                      <w:sz w:val="21"/>
                      <w:szCs w:val="21"/>
                    </w:rPr>
                  </w:pPr>
                  <w:r>
                    <w:rPr>
                      <w:rFonts w:hint="eastAsia"/>
                      <w:bCs/>
                      <w:sz w:val="21"/>
                      <w:szCs w:val="21"/>
                    </w:rPr>
                    <w:t>2</w:t>
                  </w:r>
                </w:p>
              </w:tc>
              <w:tc>
                <w:tcPr>
                  <w:tcW w:w="1157" w:type="dxa"/>
                  <w:vAlign w:val="center"/>
                </w:tcPr>
                <w:p>
                  <w:pPr>
                    <w:spacing w:line="240" w:lineRule="auto"/>
                    <w:ind w:firstLine="0" w:firstLineChars="0"/>
                    <w:contextualSpacing/>
                    <w:jc w:val="center"/>
                    <w:rPr>
                      <w:bCs/>
                      <w:sz w:val="21"/>
                      <w:szCs w:val="21"/>
                    </w:rPr>
                  </w:pPr>
                  <w:r>
                    <w:rPr>
                      <w:rFonts w:hint="eastAsia"/>
                      <w:bCs/>
                      <w:sz w:val="21"/>
                      <w:szCs w:val="21"/>
                    </w:rPr>
                    <w:t>水</w:t>
                  </w:r>
                </w:p>
              </w:tc>
              <w:tc>
                <w:tcPr>
                  <w:tcW w:w="1813" w:type="dxa"/>
                  <w:vAlign w:val="center"/>
                </w:tcPr>
                <w:p>
                  <w:pPr>
                    <w:spacing w:line="240" w:lineRule="auto"/>
                    <w:ind w:firstLine="0" w:firstLineChars="0"/>
                    <w:contextualSpacing/>
                    <w:jc w:val="center"/>
                    <w:rPr>
                      <w:bCs/>
                      <w:sz w:val="21"/>
                      <w:szCs w:val="21"/>
                    </w:rPr>
                  </w:pPr>
                  <w:r>
                    <w:rPr>
                      <w:rFonts w:hint="eastAsia"/>
                      <w:bCs/>
                      <w:sz w:val="21"/>
                      <w:szCs w:val="21"/>
                    </w:rPr>
                    <w:t>825</w:t>
                  </w:r>
                  <w:r>
                    <w:rPr>
                      <w:bCs/>
                      <w:sz w:val="21"/>
                      <w:szCs w:val="21"/>
                    </w:rPr>
                    <w:t>t/a</w:t>
                  </w:r>
                </w:p>
              </w:tc>
              <w:tc>
                <w:tcPr>
                  <w:tcW w:w="4145" w:type="dxa"/>
                  <w:tcBorders>
                    <w:right w:val="nil"/>
                  </w:tcBorders>
                  <w:vAlign w:val="center"/>
                </w:tcPr>
                <w:p>
                  <w:pPr>
                    <w:spacing w:line="240" w:lineRule="auto"/>
                    <w:ind w:firstLine="0" w:firstLineChars="0"/>
                    <w:contextualSpacing/>
                    <w:jc w:val="center"/>
                    <w:rPr>
                      <w:bCs/>
                      <w:sz w:val="21"/>
                      <w:szCs w:val="21"/>
                    </w:rPr>
                  </w:pPr>
                  <w:r>
                    <w:rPr>
                      <w:rFonts w:hint="eastAsia"/>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2" w:type="dxa"/>
                  <w:tcBorders>
                    <w:left w:val="nil"/>
                  </w:tcBorders>
                  <w:vAlign w:val="center"/>
                </w:tcPr>
                <w:p>
                  <w:pPr>
                    <w:spacing w:line="240" w:lineRule="auto"/>
                    <w:ind w:firstLine="0" w:firstLineChars="0"/>
                    <w:contextualSpacing/>
                    <w:jc w:val="center"/>
                    <w:rPr>
                      <w:bCs/>
                      <w:sz w:val="21"/>
                      <w:szCs w:val="21"/>
                    </w:rPr>
                  </w:pPr>
                  <w:r>
                    <w:rPr>
                      <w:rFonts w:hint="eastAsia"/>
                      <w:bCs/>
                      <w:sz w:val="21"/>
                      <w:szCs w:val="21"/>
                    </w:rPr>
                    <w:t>3</w:t>
                  </w:r>
                </w:p>
              </w:tc>
              <w:tc>
                <w:tcPr>
                  <w:tcW w:w="1157" w:type="dxa"/>
                  <w:vAlign w:val="center"/>
                </w:tcPr>
                <w:p>
                  <w:pPr>
                    <w:spacing w:line="240" w:lineRule="auto"/>
                    <w:ind w:firstLine="0" w:firstLineChars="0"/>
                    <w:contextualSpacing/>
                    <w:jc w:val="center"/>
                    <w:rPr>
                      <w:bCs/>
                      <w:sz w:val="21"/>
                      <w:szCs w:val="21"/>
                    </w:rPr>
                  </w:pPr>
                  <w:r>
                    <w:rPr>
                      <w:rFonts w:hint="eastAsia"/>
                      <w:bCs/>
                      <w:sz w:val="21"/>
                      <w:szCs w:val="21"/>
                    </w:rPr>
                    <w:t>电</w:t>
                  </w:r>
                </w:p>
              </w:tc>
              <w:tc>
                <w:tcPr>
                  <w:tcW w:w="1813" w:type="dxa"/>
                  <w:vAlign w:val="center"/>
                </w:tcPr>
                <w:p>
                  <w:pPr>
                    <w:spacing w:line="240" w:lineRule="auto"/>
                    <w:ind w:firstLine="0" w:firstLineChars="0"/>
                    <w:contextualSpacing/>
                    <w:jc w:val="center"/>
                    <w:rPr>
                      <w:bCs/>
                      <w:sz w:val="21"/>
                      <w:szCs w:val="21"/>
                    </w:rPr>
                  </w:pPr>
                  <w:r>
                    <w:rPr>
                      <w:rFonts w:hint="eastAsia"/>
                      <w:sz w:val="21"/>
                      <w:szCs w:val="21"/>
                    </w:rPr>
                    <w:t>140万k</w:t>
                  </w:r>
                  <w:r>
                    <w:rPr>
                      <w:sz w:val="21"/>
                      <w:szCs w:val="21"/>
                    </w:rPr>
                    <w:t>W</w:t>
                  </w:r>
                  <w:r>
                    <w:rPr>
                      <w:rFonts w:hint="eastAsia"/>
                      <w:sz w:val="21"/>
                      <w:szCs w:val="21"/>
                    </w:rPr>
                    <w:t>•</w:t>
                  </w:r>
                  <w:r>
                    <w:rPr>
                      <w:sz w:val="21"/>
                      <w:szCs w:val="21"/>
                    </w:rPr>
                    <w:t>h/</w:t>
                  </w:r>
                  <w:r>
                    <w:rPr>
                      <w:rFonts w:hint="eastAsia"/>
                      <w:sz w:val="21"/>
                      <w:szCs w:val="21"/>
                    </w:rPr>
                    <w:t>a</w:t>
                  </w:r>
                </w:p>
              </w:tc>
              <w:tc>
                <w:tcPr>
                  <w:tcW w:w="4145" w:type="dxa"/>
                  <w:tcBorders>
                    <w:right w:val="nil"/>
                  </w:tcBorders>
                  <w:vAlign w:val="center"/>
                </w:tcPr>
                <w:p>
                  <w:pPr>
                    <w:spacing w:line="240" w:lineRule="auto"/>
                    <w:ind w:firstLine="0" w:firstLineChars="0"/>
                    <w:contextualSpacing/>
                    <w:jc w:val="center"/>
                    <w:rPr>
                      <w:bCs/>
                      <w:sz w:val="21"/>
                      <w:szCs w:val="21"/>
                    </w:rPr>
                  </w:pPr>
                  <w:r>
                    <w:rPr>
                      <w:rFonts w:hint="eastAsia"/>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07" w:type="dxa"/>
                  <w:gridSpan w:val="4"/>
                  <w:tcBorders>
                    <w:left w:val="nil"/>
                    <w:bottom w:val="single" w:color="auto" w:sz="12" w:space="0"/>
                    <w:right w:val="nil"/>
                  </w:tcBorders>
                  <w:vAlign w:val="center"/>
                </w:tcPr>
                <w:p>
                  <w:pPr>
                    <w:spacing w:line="240" w:lineRule="auto"/>
                    <w:ind w:firstLine="0" w:firstLineChars="0"/>
                    <w:contextualSpacing/>
                    <w:rPr>
                      <w:bCs/>
                      <w:sz w:val="21"/>
                      <w:szCs w:val="21"/>
                    </w:rPr>
                  </w:pPr>
                  <w:r>
                    <w:rPr>
                      <w:rFonts w:hint="eastAsia"/>
                      <w:bCs/>
                      <w:sz w:val="21"/>
                      <w:szCs w:val="21"/>
                    </w:rPr>
                    <w:t>注：项目收集的废旧特种金属为机加工厂的销子，部分销子表面可能沾有少量润滑油。</w:t>
                  </w:r>
                </w:p>
              </w:tc>
            </w:tr>
          </w:tbl>
          <w:p>
            <w:pPr>
              <w:pStyle w:val="4"/>
            </w:pPr>
            <w:r>
              <w:rPr>
                <w:rFonts w:hint="eastAsia"/>
              </w:rPr>
              <w:t>2.4主要产品方案</w:t>
            </w:r>
          </w:p>
          <w:p>
            <w:pPr>
              <w:ind w:firstLine="480"/>
            </w:pPr>
            <w:r>
              <w:rPr>
                <w:rFonts w:hint="eastAsia"/>
              </w:rPr>
              <w:t>本项目主要产品见表2-7。</w:t>
            </w:r>
          </w:p>
          <w:p>
            <w:pPr>
              <w:spacing w:line="240" w:lineRule="auto"/>
              <w:ind w:firstLine="0" w:firstLineChars="0"/>
              <w:jc w:val="center"/>
              <w:rPr>
                <w:b/>
                <w:bCs/>
                <w:sz w:val="21"/>
                <w:szCs w:val="21"/>
              </w:rPr>
            </w:pPr>
            <w:r>
              <w:rPr>
                <w:rFonts w:hint="eastAsia"/>
                <w:b/>
                <w:bCs/>
                <w:sz w:val="21"/>
                <w:szCs w:val="21"/>
              </w:rPr>
              <w:t>表2-7  产品参数一览表</w:t>
            </w:r>
          </w:p>
          <w:tbl>
            <w:tblPr>
              <w:tblStyle w:val="35"/>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0"/>
              <w:gridCol w:w="4444"/>
              <w:gridCol w:w="1204"/>
              <w:gridCol w:w="14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dxa"/>
                  <w:tcBorders>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序号</w:t>
                  </w:r>
                </w:p>
              </w:tc>
              <w:tc>
                <w:tcPr>
                  <w:tcW w:w="4444" w:type="dxa"/>
                  <w:tcBorders>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产品名称</w:t>
                  </w:r>
                </w:p>
              </w:tc>
              <w:tc>
                <w:tcPr>
                  <w:tcW w:w="1204" w:type="dxa"/>
                  <w:tcBorders>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生产规模</w:t>
                  </w:r>
                </w:p>
              </w:tc>
              <w:tc>
                <w:tcPr>
                  <w:tcW w:w="1423" w:type="dxa"/>
                  <w:tcBorders>
                    <w:bottom w:val="single" w:color="auto" w:sz="12" w:space="0"/>
                  </w:tcBorders>
                  <w:vAlign w:val="center"/>
                </w:tcPr>
                <w:p>
                  <w:pPr>
                    <w:spacing w:line="240" w:lineRule="auto"/>
                    <w:ind w:firstLine="0" w:firstLineChars="0"/>
                    <w:contextualSpacing/>
                    <w:jc w:val="center"/>
                    <w:rPr>
                      <w:b/>
                      <w:sz w:val="21"/>
                      <w:szCs w:val="21"/>
                    </w:rPr>
                  </w:pPr>
                  <w:r>
                    <w:rPr>
                      <w:rFonts w:hint="eastAsia"/>
                      <w:b/>
                      <w:sz w:val="21"/>
                      <w:szCs w:val="21"/>
                    </w:rPr>
                    <w:t>销售去向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0" w:type="dxa"/>
                  <w:tcBorders>
                    <w:top w:val="single" w:color="auto" w:sz="12" w:space="0"/>
                    <w:tl2br w:val="nil"/>
                    <w:tr2bl w:val="nil"/>
                  </w:tcBorders>
                  <w:vAlign w:val="center"/>
                </w:tcPr>
                <w:p>
                  <w:pPr>
                    <w:spacing w:line="240" w:lineRule="auto"/>
                    <w:ind w:firstLine="0" w:firstLineChars="0"/>
                    <w:contextualSpacing/>
                    <w:jc w:val="center"/>
                    <w:rPr>
                      <w:bCs/>
                      <w:sz w:val="21"/>
                      <w:szCs w:val="21"/>
                    </w:rPr>
                  </w:pPr>
                  <w:r>
                    <w:rPr>
                      <w:rFonts w:hint="eastAsia"/>
                      <w:bCs/>
                      <w:sz w:val="21"/>
                      <w:szCs w:val="21"/>
                    </w:rPr>
                    <w:t>1</w:t>
                  </w:r>
                </w:p>
              </w:tc>
              <w:tc>
                <w:tcPr>
                  <w:tcW w:w="4444" w:type="dxa"/>
                  <w:tcBorders>
                    <w:top w:val="single" w:color="auto" w:sz="12" w:space="0"/>
                    <w:tl2br w:val="nil"/>
                    <w:tr2bl w:val="nil"/>
                  </w:tcBorders>
                  <w:vAlign w:val="center"/>
                </w:tcPr>
                <w:p>
                  <w:pPr>
                    <w:spacing w:line="240" w:lineRule="auto"/>
                    <w:ind w:firstLine="0" w:firstLineChars="0"/>
                    <w:contextualSpacing/>
                    <w:jc w:val="center"/>
                    <w:rPr>
                      <w:bCs/>
                      <w:sz w:val="21"/>
                      <w:szCs w:val="21"/>
                    </w:rPr>
                  </w:pPr>
                  <w:r>
                    <w:rPr>
                      <w:rFonts w:hint="eastAsia"/>
                      <w:bCs/>
                      <w:sz w:val="21"/>
                      <w:szCs w:val="21"/>
                    </w:rPr>
                    <w:t>30cm×30cm×30cm的块状特种钢</w:t>
                  </w:r>
                </w:p>
              </w:tc>
              <w:tc>
                <w:tcPr>
                  <w:tcW w:w="1204" w:type="dxa"/>
                  <w:tcBorders>
                    <w:top w:val="single" w:color="auto" w:sz="12" w:space="0"/>
                    <w:tl2br w:val="nil"/>
                    <w:tr2bl w:val="nil"/>
                  </w:tcBorders>
                  <w:vAlign w:val="center"/>
                </w:tcPr>
                <w:p>
                  <w:pPr>
                    <w:spacing w:line="240" w:lineRule="auto"/>
                    <w:ind w:firstLine="0" w:firstLineChars="0"/>
                    <w:contextualSpacing/>
                    <w:jc w:val="center"/>
                    <w:rPr>
                      <w:bCs/>
                      <w:sz w:val="21"/>
                      <w:szCs w:val="21"/>
                    </w:rPr>
                  </w:pPr>
                  <w:r>
                    <w:rPr>
                      <w:rFonts w:hint="eastAsia"/>
                      <w:bCs/>
                      <w:sz w:val="21"/>
                      <w:szCs w:val="21"/>
                    </w:rPr>
                    <w:t>5万</w:t>
                  </w:r>
                  <w:r>
                    <w:rPr>
                      <w:bCs/>
                      <w:sz w:val="21"/>
                      <w:szCs w:val="21"/>
                    </w:rPr>
                    <w:t>t/a</w:t>
                  </w:r>
                </w:p>
              </w:tc>
              <w:tc>
                <w:tcPr>
                  <w:tcW w:w="1423" w:type="dxa"/>
                  <w:tcBorders>
                    <w:top w:val="single" w:color="auto" w:sz="12" w:space="0"/>
                    <w:tl2br w:val="nil"/>
                    <w:tr2bl w:val="nil"/>
                  </w:tcBorders>
                  <w:vAlign w:val="center"/>
                </w:tcPr>
                <w:p>
                  <w:pPr>
                    <w:spacing w:line="240" w:lineRule="auto"/>
                    <w:ind w:firstLine="0" w:firstLineChars="0"/>
                    <w:contextualSpacing/>
                    <w:jc w:val="center"/>
                    <w:rPr>
                      <w:bCs/>
                      <w:sz w:val="21"/>
                      <w:szCs w:val="21"/>
                    </w:rPr>
                  </w:pPr>
                  <w:r>
                    <w:rPr>
                      <w:rFonts w:hint="eastAsia"/>
                      <w:bCs/>
                      <w:sz w:val="21"/>
                      <w:szCs w:val="21"/>
                    </w:rPr>
                    <w:t>盛泰源</w:t>
                  </w:r>
                </w:p>
              </w:tc>
            </w:tr>
          </w:tbl>
          <w:p>
            <w:pPr>
              <w:ind w:firstLine="480"/>
            </w:pPr>
            <w:r>
              <w:rPr>
                <w:rFonts w:hint="eastAsia"/>
              </w:rPr>
              <w:t>本项目将加工处理的5万吨特种钢外售给盛泰源</w:t>
            </w:r>
            <w:r>
              <w:rPr>
                <w:rFonts w:hint="eastAsia"/>
                <w:lang w:val="en-US" w:eastAsia="zh-CN"/>
              </w:rPr>
              <w:t>和园区其他铸造公司</w:t>
            </w:r>
            <w:r>
              <w:rPr>
                <w:rFonts w:hint="eastAsia"/>
              </w:rPr>
              <w:t>，用于生产合金铸件。</w:t>
            </w:r>
          </w:p>
          <w:p>
            <w:pPr>
              <w:pStyle w:val="4"/>
            </w:pPr>
            <w:r>
              <w:rPr>
                <w:rFonts w:hint="eastAsia"/>
              </w:rPr>
              <w:t>2.5生产制度及劳动定员</w:t>
            </w:r>
          </w:p>
          <w:p>
            <w:pPr>
              <w:ind w:firstLine="480"/>
            </w:pPr>
            <w:r>
              <w:rPr>
                <w:rFonts w:hint="eastAsia"/>
              </w:rPr>
              <w:t>职工人数：劳动定员为30人，其中管理人员2人，工人28人。</w:t>
            </w:r>
          </w:p>
          <w:p>
            <w:pPr>
              <w:ind w:firstLine="480"/>
            </w:pPr>
            <w:r>
              <w:rPr>
                <w:rFonts w:hint="eastAsia"/>
              </w:rPr>
              <w:t>工作制度：年工作300d，一班制，一班8小时。</w:t>
            </w:r>
          </w:p>
          <w:p>
            <w:pPr>
              <w:pStyle w:val="4"/>
            </w:pPr>
            <w:r>
              <w:rPr>
                <w:rFonts w:hint="eastAsia"/>
              </w:rPr>
              <w:t>2.6公用工程</w:t>
            </w:r>
          </w:p>
          <w:p>
            <w:pPr>
              <w:pStyle w:val="5"/>
            </w:pPr>
            <w:r>
              <w:rPr>
                <w:rFonts w:hint="eastAsia"/>
              </w:rPr>
              <w:t>2.6.1给排水</w:t>
            </w:r>
          </w:p>
          <w:p>
            <w:pPr>
              <w:bidi w:val="0"/>
            </w:pPr>
            <w:r>
              <w:rPr>
                <w:rFonts w:hint="eastAsia"/>
                <w:lang w:val="en-US" w:eastAsia="zh-CN"/>
              </w:rPr>
              <w:t>项目用水由东方恒略供给</w:t>
            </w:r>
            <w:r>
              <w:rPr>
                <w:rFonts w:hint="eastAsia"/>
                <w:lang w:eastAsia="zh-CN"/>
              </w:rPr>
              <w:t>，</w:t>
            </w:r>
            <w:r>
              <w:rPr>
                <w:rFonts w:hint="eastAsia"/>
              </w:rPr>
              <w:t>项目不设住宿和洗浴，员工就餐依托盛泰源食堂。东方恒略</w:t>
            </w:r>
            <w:r>
              <w:rPr>
                <w:rFonts w:hint="eastAsia"/>
                <w:lang w:val="en-US" w:eastAsia="zh-CN"/>
              </w:rPr>
              <w:t>生活用水由厂区自备水井供给，生产用水由涝</w:t>
            </w:r>
            <w:r>
              <w:rPr>
                <w:rFonts w:hint="eastAsia"/>
              </w:rPr>
              <w:t>河水库供给</w:t>
            </w:r>
            <w:r>
              <w:rPr>
                <w:rFonts w:hint="eastAsia"/>
                <w:lang w:eastAsia="zh-CN"/>
              </w:rPr>
              <w:t>。</w:t>
            </w:r>
            <w:r>
              <w:rPr>
                <w:rFonts w:hint="eastAsia"/>
                <w:lang w:val="en-US" w:eastAsia="zh-CN"/>
              </w:rPr>
              <w:t>东方恒略取水许可证有效期自2022年1月9日至2027年1月8日，编号：B141002S2022-0025。</w:t>
            </w:r>
          </w:p>
          <w:p>
            <w:pPr>
              <w:ind w:firstLine="480"/>
            </w:pPr>
            <w:r>
              <w:rPr>
                <w:rFonts w:hint="eastAsia"/>
              </w:rPr>
              <w:t>项目用水主要是生活用水和洗车用水，道路洒水和绿化用水由东方恒略负责。</w:t>
            </w:r>
          </w:p>
          <w:p>
            <w:pPr>
              <w:ind w:firstLine="482"/>
            </w:pPr>
            <w:r>
              <w:rPr>
                <w:rFonts w:hint="eastAsia"/>
                <w:b/>
                <w:bCs/>
              </w:rPr>
              <w:t>生活用水：</w:t>
            </w:r>
            <w:r>
              <w:rPr>
                <w:rFonts w:hint="eastAsia"/>
              </w:rPr>
              <w:t>项目劳动定员30人。本次评价采用《山西省用水定额  第4部分：居民生活用水定额》（DB14/T1049.4-2021）：50万以下人口小城市室内有给排水卫生设备但无淋浴设备用水定额按90L/（p</w:t>
            </w:r>
            <w:r>
              <w:rPr>
                <w:rFonts w:cs="Times New Roman"/>
              </w:rPr>
              <w:t>·</w:t>
            </w:r>
            <w:r>
              <w:rPr>
                <w:rFonts w:hint="eastAsia"/>
              </w:rPr>
              <w:t>d），本项目生活用水量为2.7m</w:t>
            </w:r>
            <w:r>
              <w:rPr>
                <w:rFonts w:hint="eastAsia"/>
                <w:vertAlign w:val="superscript"/>
              </w:rPr>
              <w:t>3</w:t>
            </w:r>
            <w:r>
              <w:rPr>
                <w:rFonts w:hint="eastAsia"/>
              </w:rPr>
              <w:t>/d（810m</w:t>
            </w:r>
            <w:r>
              <w:rPr>
                <w:rFonts w:hint="eastAsia"/>
                <w:vertAlign w:val="superscript"/>
              </w:rPr>
              <w:t>3</w:t>
            </w:r>
            <w:r>
              <w:rPr>
                <w:rFonts w:hint="eastAsia"/>
              </w:rPr>
              <w:t>/a，300d计）。生活废水按用水量的80%计，则生活废水产生量为2.16m</w:t>
            </w:r>
            <w:r>
              <w:rPr>
                <w:rFonts w:hint="eastAsia"/>
                <w:vertAlign w:val="superscript"/>
              </w:rPr>
              <w:t>3</w:t>
            </w:r>
            <w:r>
              <w:rPr>
                <w:rFonts w:hint="eastAsia"/>
              </w:rPr>
              <w:t>/d（648m</w:t>
            </w:r>
            <w:r>
              <w:rPr>
                <w:rFonts w:hint="eastAsia"/>
                <w:vertAlign w:val="superscript"/>
              </w:rPr>
              <w:t>3</w:t>
            </w:r>
            <w:r>
              <w:rPr>
                <w:rFonts w:hint="eastAsia"/>
              </w:rPr>
              <w:t>/a，300d计），食堂废水占生活废水的20%，则食堂废水产生量为0.43m</w:t>
            </w:r>
            <w:r>
              <w:rPr>
                <w:rFonts w:hint="eastAsia"/>
                <w:vertAlign w:val="superscript"/>
              </w:rPr>
              <w:t>3</w:t>
            </w:r>
            <w:r>
              <w:rPr>
                <w:rFonts w:hint="eastAsia"/>
              </w:rPr>
              <w:t>/d（129m</w:t>
            </w:r>
            <w:r>
              <w:rPr>
                <w:rFonts w:hint="eastAsia"/>
                <w:vertAlign w:val="superscript"/>
              </w:rPr>
              <w:t>3</w:t>
            </w:r>
            <w:r>
              <w:rPr>
                <w:rFonts w:hint="eastAsia"/>
              </w:rPr>
              <w:t>/a，300d计）。</w:t>
            </w:r>
          </w:p>
          <w:p>
            <w:pPr>
              <w:ind w:firstLine="480"/>
            </w:pPr>
            <w:r>
              <w:rPr>
                <w:rFonts w:hint="eastAsia"/>
              </w:rPr>
              <w:t>食堂废水经隔油池处理后，与生活污水排入生活污水处理站，处理后用于东方恒略高炉冲渣。隔油池依托盛泰源，生活污水处理站依托</w:t>
            </w:r>
            <w:r>
              <w:rPr>
                <w:rFonts w:hint="eastAsia"/>
                <w:szCs w:val="24"/>
              </w:rPr>
              <w:t>东方恒略</w:t>
            </w:r>
            <w:r>
              <w:rPr>
                <w:rFonts w:hint="eastAsia"/>
              </w:rPr>
              <w:t>。</w:t>
            </w:r>
          </w:p>
          <w:p>
            <w:pPr>
              <w:ind w:firstLine="480"/>
              <w:rPr>
                <w:rFonts w:ascii="宋体" w:hAnsi="宋体" w:cs="宋体"/>
                <w:szCs w:val="24"/>
                <w:lang w:bidi="ar"/>
              </w:rPr>
            </w:pPr>
            <w:r>
              <w:rPr>
                <w:rFonts w:hint="eastAsia"/>
              </w:rPr>
              <w:t>洗车用水：</w:t>
            </w:r>
            <w:r>
              <w:rPr>
                <w:rFonts w:hint="eastAsia" w:ascii="宋体" w:hAnsi="宋体" w:cs="宋体"/>
                <w:szCs w:val="24"/>
                <w:lang w:bidi="ar"/>
              </w:rPr>
              <w:t>本项目原料由周边机加工厂购买，采用</w:t>
            </w:r>
            <w:r>
              <w:rPr>
                <w:rFonts w:cs="Times New Roman"/>
                <w:szCs w:val="24"/>
                <w:lang w:bidi="ar"/>
              </w:rPr>
              <w:t>30</w:t>
            </w:r>
            <w:r>
              <w:rPr>
                <w:rFonts w:hint="eastAsia" w:ascii="宋体" w:hAnsi="宋体" w:cs="宋体"/>
                <w:szCs w:val="24"/>
                <w:lang w:bidi="ar"/>
              </w:rPr>
              <w:t>吨重卡运输。成品直接外售同园区盛泰源，由叉车转运。汽车年运输量为5万吨，需要</w:t>
            </w:r>
            <w:r>
              <w:rPr>
                <w:rFonts w:hint="eastAsia" w:cs="Times New Roman"/>
                <w:szCs w:val="24"/>
                <w:lang w:bidi="ar"/>
              </w:rPr>
              <w:t>1667</w:t>
            </w:r>
            <w:r>
              <w:rPr>
                <w:rFonts w:hint="eastAsia" w:ascii="宋体" w:hAnsi="宋体" w:cs="宋体"/>
                <w:szCs w:val="24"/>
                <w:lang w:bidi="ar"/>
              </w:rPr>
              <w:t>车次（约合</w:t>
            </w:r>
            <w:r>
              <w:rPr>
                <w:rFonts w:hint="eastAsia" w:cs="Times New Roman"/>
                <w:szCs w:val="24"/>
                <w:lang w:bidi="ar"/>
              </w:rPr>
              <w:t>6</w:t>
            </w:r>
            <w:r>
              <w:rPr>
                <w:rFonts w:hint="eastAsia" w:ascii="宋体" w:hAnsi="宋体" w:cs="宋体"/>
                <w:szCs w:val="24"/>
                <w:lang w:bidi="ar"/>
              </w:rPr>
              <w:t>辆</w:t>
            </w:r>
            <w:r>
              <w:rPr>
                <w:rFonts w:cs="Times New Roman"/>
                <w:szCs w:val="24"/>
                <w:lang w:bidi="ar"/>
              </w:rPr>
              <w:t>/</w:t>
            </w:r>
            <w:r>
              <w:rPr>
                <w:rFonts w:hint="eastAsia" w:ascii="宋体" w:hAnsi="宋体" w:cs="宋体"/>
                <w:szCs w:val="24"/>
                <w:lang w:bidi="ar"/>
              </w:rPr>
              <w:t>天）。参照《山西省用水定额</w:t>
            </w:r>
            <w:r>
              <w:rPr>
                <w:rFonts w:hint="eastAsia" w:cs="Times New Roman"/>
                <w:szCs w:val="24"/>
                <w:lang w:bidi="ar"/>
              </w:rPr>
              <w:t xml:space="preserve">  </w:t>
            </w:r>
            <w:r>
              <w:rPr>
                <w:rFonts w:hint="eastAsia" w:ascii="宋体" w:hAnsi="宋体" w:cs="宋体"/>
                <w:szCs w:val="24"/>
                <w:lang w:bidi="ar"/>
              </w:rPr>
              <w:t>第</w:t>
            </w:r>
            <w:r>
              <w:rPr>
                <w:rFonts w:cs="Times New Roman"/>
                <w:szCs w:val="24"/>
                <w:lang w:bidi="ar"/>
              </w:rPr>
              <w:t>3</w:t>
            </w:r>
            <w:r>
              <w:rPr>
                <w:rFonts w:hint="eastAsia" w:ascii="宋体" w:hAnsi="宋体" w:cs="宋体"/>
                <w:szCs w:val="24"/>
                <w:lang w:bidi="ar"/>
              </w:rPr>
              <w:t>部分：服务业用水定额》（</w:t>
            </w:r>
            <w:r>
              <w:rPr>
                <w:rFonts w:cs="Times New Roman"/>
                <w:szCs w:val="24"/>
                <w:lang w:bidi="ar"/>
              </w:rPr>
              <w:t>DB14/T1049.3-2021</w:t>
            </w:r>
            <w:r>
              <w:rPr>
                <w:rFonts w:hint="eastAsia" w:ascii="宋体" w:hAnsi="宋体" w:cs="宋体"/>
                <w:szCs w:val="24"/>
                <w:lang w:bidi="ar"/>
              </w:rPr>
              <w:t>）中表</w:t>
            </w:r>
            <w:r>
              <w:rPr>
                <w:rFonts w:cs="Times New Roman"/>
                <w:szCs w:val="24"/>
                <w:lang w:bidi="ar"/>
              </w:rPr>
              <w:t>15</w:t>
            </w:r>
            <w:r>
              <w:rPr>
                <w:rFonts w:hint="eastAsia" w:ascii="宋体" w:hAnsi="宋体" w:cs="宋体"/>
                <w:szCs w:val="24"/>
                <w:lang w:bidi="ar"/>
              </w:rPr>
              <w:t>载重汽车用水定额</w:t>
            </w:r>
            <w:r>
              <w:rPr>
                <w:rFonts w:cs="Times New Roman"/>
                <w:szCs w:val="24"/>
                <w:lang w:bidi="ar"/>
              </w:rPr>
              <w:t>40L/</w:t>
            </w:r>
            <w:r>
              <w:rPr>
                <w:rFonts w:hint="eastAsia" w:ascii="宋体" w:hAnsi="宋体" w:cs="宋体"/>
                <w:szCs w:val="24"/>
                <w:lang w:bidi="ar"/>
              </w:rPr>
              <w:t>（辆·次），则冲洗用水量约</w:t>
            </w:r>
            <w:r>
              <w:rPr>
                <w:rFonts w:hint="eastAsia" w:cs="Times New Roman"/>
                <w:szCs w:val="24"/>
                <w:lang w:bidi="ar"/>
              </w:rPr>
              <w:t>0.24</w:t>
            </w:r>
            <w:r>
              <w:rPr>
                <w:rFonts w:cs="Times New Roman"/>
                <w:szCs w:val="24"/>
                <w:lang w:bidi="ar"/>
              </w:rPr>
              <w:t>m</w:t>
            </w:r>
            <w:r>
              <w:rPr>
                <w:rFonts w:cs="Times New Roman"/>
                <w:szCs w:val="24"/>
                <w:vertAlign w:val="superscript"/>
                <w:lang w:bidi="ar"/>
              </w:rPr>
              <w:t>3</w:t>
            </w:r>
            <w:r>
              <w:rPr>
                <w:rFonts w:cs="Times New Roman"/>
                <w:szCs w:val="24"/>
                <w:lang w:bidi="ar"/>
              </w:rPr>
              <w:t>/d</w:t>
            </w:r>
            <w:r>
              <w:rPr>
                <w:rFonts w:hint="eastAsia" w:ascii="宋体" w:hAnsi="宋体" w:cs="宋体"/>
                <w:szCs w:val="24"/>
                <w:lang w:bidi="ar"/>
              </w:rPr>
              <w:t>。车辆清洗用水循环使用，循环利用率</w:t>
            </w:r>
            <w:r>
              <w:rPr>
                <w:rFonts w:cs="Times New Roman"/>
                <w:szCs w:val="24"/>
                <w:lang w:bidi="ar"/>
              </w:rPr>
              <w:t>80%</w:t>
            </w:r>
            <w:r>
              <w:rPr>
                <w:rFonts w:hint="eastAsia" w:ascii="宋体" w:hAnsi="宋体" w:cs="宋体"/>
                <w:szCs w:val="24"/>
                <w:lang w:bidi="ar"/>
              </w:rPr>
              <w:t>，补充水量为</w:t>
            </w:r>
            <w:r>
              <w:rPr>
                <w:rFonts w:cs="Times New Roman"/>
                <w:szCs w:val="24"/>
                <w:lang w:bidi="ar"/>
              </w:rPr>
              <w:t>0.</w:t>
            </w:r>
            <w:r>
              <w:rPr>
                <w:rFonts w:hint="eastAsia" w:cs="Times New Roman"/>
                <w:szCs w:val="24"/>
                <w:lang w:bidi="ar"/>
              </w:rPr>
              <w:t>05</w:t>
            </w:r>
            <w:r>
              <w:rPr>
                <w:rFonts w:cs="Times New Roman"/>
                <w:szCs w:val="24"/>
                <w:lang w:bidi="ar"/>
              </w:rPr>
              <w:t>m</w:t>
            </w:r>
            <w:r>
              <w:rPr>
                <w:rFonts w:cs="Times New Roman"/>
                <w:szCs w:val="24"/>
                <w:vertAlign w:val="superscript"/>
                <w:lang w:bidi="ar"/>
              </w:rPr>
              <w:t>3</w:t>
            </w:r>
            <w:r>
              <w:rPr>
                <w:rFonts w:cs="Times New Roman"/>
                <w:szCs w:val="24"/>
                <w:lang w:bidi="ar"/>
              </w:rPr>
              <w:t>/d</w:t>
            </w:r>
            <w:r>
              <w:rPr>
                <w:rFonts w:hint="eastAsia" w:cs="Times New Roman"/>
                <w:szCs w:val="24"/>
                <w:lang w:eastAsia="zh-CN" w:bidi="ar"/>
              </w:rPr>
              <w:t>（</w:t>
            </w:r>
            <w:r>
              <w:rPr>
                <w:rFonts w:hint="eastAsia" w:cs="Times New Roman"/>
                <w:szCs w:val="24"/>
                <w:lang w:val="en-US" w:eastAsia="zh-CN" w:bidi="ar"/>
              </w:rPr>
              <w:t>15m</w:t>
            </w:r>
            <w:r>
              <w:rPr>
                <w:rFonts w:hint="eastAsia" w:cs="Times New Roman"/>
                <w:szCs w:val="24"/>
                <w:vertAlign w:val="superscript"/>
                <w:lang w:val="en-US" w:eastAsia="zh-CN" w:bidi="ar"/>
              </w:rPr>
              <w:t>3</w:t>
            </w:r>
            <w:r>
              <w:rPr>
                <w:rFonts w:hint="eastAsia" w:cs="Times New Roman"/>
                <w:szCs w:val="24"/>
                <w:lang w:val="en-US" w:eastAsia="zh-CN" w:bidi="ar"/>
              </w:rPr>
              <w:t>/a</w:t>
            </w:r>
            <w:r>
              <w:rPr>
                <w:rFonts w:hint="eastAsia" w:cs="Times New Roman"/>
                <w:szCs w:val="24"/>
                <w:lang w:eastAsia="zh-CN" w:bidi="ar"/>
              </w:rPr>
              <w:t>）</w:t>
            </w:r>
            <w:r>
              <w:rPr>
                <w:rFonts w:hint="eastAsia" w:ascii="宋体" w:hAnsi="宋体" w:cs="宋体"/>
                <w:szCs w:val="24"/>
                <w:lang w:bidi="ar"/>
              </w:rPr>
              <w:t>。</w:t>
            </w:r>
          </w:p>
          <w:p>
            <w:pPr>
              <w:pStyle w:val="42"/>
              <w:ind w:firstLine="480"/>
              <w:rPr>
                <w:rFonts w:hint="eastAsia"/>
                <w:color w:val="auto"/>
                <w:lang w:val="en-US" w:eastAsia="zh-CN"/>
              </w:rPr>
            </w:pPr>
            <w:r>
              <w:rPr>
                <w:rFonts w:hint="eastAsia"/>
                <w:color w:val="auto"/>
              </w:rPr>
              <w:t>洗车依托东方恒略洗车平台，东方恒略建有一座标准化洗车平台。</w:t>
            </w:r>
            <w:r>
              <w:rPr>
                <w:rFonts w:hint="eastAsia"/>
                <w:color w:val="auto"/>
                <w:lang w:val="en-US" w:eastAsia="zh-CN"/>
              </w:rPr>
              <w:t>本项目属于厂中厂，依次经东方恒略、盛泰源进入本项目厂区。项目厂区无明显厂界，与东方恒略共用厂区进出入口，因此，本项目洗车可依托东方恒略洗车平台。</w:t>
            </w:r>
          </w:p>
          <w:p>
            <w:pPr>
              <w:pStyle w:val="42"/>
              <w:ind w:firstLine="480"/>
              <w:rPr>
                <w:rFonts w:hint="eastAsia"/>
                <w:color w:val="auto"/>
              </w:rPr>
            </w:pPr>
            <w:r>
              <w:rPr>
                <w:rFonts w:hint="eastAsia"/>
                <w:lang w:val="en-US" w:eastAsia="zh-CN"/>
              </w:rPr>
              <w:t>东方恒略地下水许可取水5.3万m</w:t>
            </w:r>
            <w:r>
              <w:rPr>
                <w:rFonts w:hint="eastAsia"/>
                <w:vertAlign w:val="superscript"/>
                <w:lang w:val="en-US" w:eastAsia="zh-CN"/>
              </w:rPr>
              <w:t>3</w:t>
            </w:r>
            <w:r>
              <w:rPr>
                <w:rFonts w:hint="eastAsia"/>
                <w:lang w:val="en-US" w:eastAsia="zh-CN"/>
              </w:rPr>
              <w:t>/a，现东方恒略地下水取水5万m</w:t>
            </w:r>
            <w:r>
              <w:rPr>
                <w:rFonts w:hint="eastAsia"/>
                <w:vertAlign w:val="superscript"/>
                <w:lang w:val="en-US" w:eastAsia="zh-CN"/>
              </w:rPr>
              <w:t>3</w:t>
            </w:r>
            <w:r>
              <w:rPr>
                <w:rFonts w:hint="eastAsia"/>
                <w:lang w:val="en-US" w:eastAsia="zh-CN"/>
              </w:rPr>
              <w:t>/a，本项目年用水825t/a，因此，本项目用水由东方恒略自备水井供给可行。</w:t>
            </w:r>
          </w:p>
          <w:p>
            <w:pPr>
              <w:pStyle w:val="42"/>
              <w:ind w:firstLine="480"/>
              <w:rPr>
                <w:color w:val="auto"/>
              </w:rPr>
            </w:pPr>
            <w:r>
              <w:rPr>
                <w:rFonts w:hint="eastAsia"/>
                <w:color w:val="auto"/>
              </w:rPr>
              <w:t>厂区给排水情况见表2-8，水平衡图见图2-1。</w:t>
            </w:r>
          </w:p>
          <w:p>
            <w:pPr>
              <w:spacing w:line="240" w:lineRule="auto"/>
              <w:ind w:firstLine="0" w:firstLineChars="0"/>
              <w:jc w:val="center"/>
              <w:rPr>
                <w:b/>
                <w:bCs/>
                <w:sz w:val="21"/>
              </w:rPr>
            </w:pPr>
            <w:r>
              <w:rPr>
                <w:rFonts w:hint="eastAsia"/>
                <w:b/>
                <w:bCs/>
                <w:sz w:val="21"/>
              </w:rPr>
              <w:t>表2-8  厂区给排水情况</w:t>
            </w:r>
          </w:p>
          <w:tbl>
            <w:tblPr>
              <w:tblStyle w:val="35"/>
              <w:tblW w:w="802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4"/>
              <w:gridCol w:w="1109"/>
              <w:gridCol w:w="1579"/>
              <w:gridCol w:w="1002"/>
              <w:gridCol w:w="993"/>
              <w:gridCol w:w="1417"/>
              <w:gridCol w:w="13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554" w:type="dxa"/>
                  <w:tcBorders>
                    <w:tl2br w:val="nil"/>
                    <w:tr2bl w:val="nil"/>
                  </w:tcBorders>
                  <w:vAlign w:val="center"/>
                </w:tcPr>
                <w:p>
                  <w:pPr>
                    <w:spacing w:line="240" w:lineRule="auto"/>
                    <w:ind w:firstLine="0" w:firstLineChars="0"/>
                    <w:jc w:val="center"/>
                    <w:rPr>
                      <w:b/>
                      <w:bCs/>
                      <w:sz w:val="18"/>
                      <w:szCs w:val="18"/>
                    </w:rPr>
                  </w:pPr>
                  <w:r>
                    <w:rPr>
                      <w:rFonts w:hint="eastAsia"/>
                      <w:b/>
                      <w:bCs/>
                      <w:sz w:val="18"/>
                      <w:szCs w:val="18"/>
                    </w:rPr>
                    <w:t>序号</w:t>
                  </w:r>
                </w:p>
              </w:tc>
              <w:tc>
                <w:tcPr>
                  <w:tcW w:w="1109" w:type="dxa"/>
                  <w:tcBorders>
                    <w:tl2br w:val="nil"/>
                    <w:tr2bl w:val="nil"/>
                  </w:tcBorders>
                  <w:vAlign w:val="center"/>
                </w:tcPr>
                <w:p>
                  <w:pPr>
                    <w:spacing w:line="240" w:lineRule="auto"/>
                    <w:ind w:firstLine="0" w:firstLineChars="0"/>
                    <w:jc w:val="center"/>
                    <w:rPr>
                      <w:b/>
                      <w:bCs/>
                      <w:sz w:val="18"/>
                      <w:szCs w:val="18"/>
                    </w:rPr>
                  </w:pPr>
                  <w:r>
                    <w:rPr>
                      <w:rFonts w:hint="eastAsia"/>
                      <w:b/>
                      <w:bCs/>
                      <w:sz w:val="18"/>
                      <w:szCs w:val="18"/>
                    </w:rPr>
                    <w:t>用水</w:t>
                  </w:r>
                </w:p>
                <w:p>
                  <w:pPr>
                    <w:spacing w:line="240" w:lineRule="auto"/>
                    <w:ind w:firstLine="0" w:firstLineChars="0"/>
                    <w:jc w:val="center"/>
                    <w:rPr>
                      <w:b/>
                      <w:bCs/>
                      <w:sz w:val="18"/>
                      <w:szCs w:val="18"/>
                    </w:rPr>
                  </w:pPr>
                  <w:r>
                    <w:rPr>
                      <w:rFonts w:hint="eastAsia"/>
                      <w:b/>
                      <w:bCs/>
                      <w:sz w:val="18"/>
                      <w:szCs w:val="18"/>
                    </w:rPr>
                    <w:t>环节</w:t>
                  </w:r>
                </w:p>
              </w:tc>
              <w:tc>
                <w:tcPr>
                  <w:tcW w:w="1579" w:type="dxa"/>
                  <w:tcBorders>
                    <w:tl2br w:val="nil"/>
                    <w:tr2bl w:val="nil"/>
                  </w:tcBorders>
                  <w:vAlign w:val="center"/>
                </w:tcPr>
                <w:p>
                  <w:pPr>
                    <w:spacing w:line="240" w:lineRule="auto"/>
                    <w:ind w:firstLine="0" w:firstLineChars="0"/>
                    <w:jc w:val="center"/>
                    <w:rPr>
                      <w:b/>
                      <w:bCs/>
                      <w:sz w:val="18"/>
                      <w:szCs w:val="18"/>
                    </w:rPr>
                  </w:pPr>
                  <w:r>
                    <w:rPr>
                      <w:rFonts w:hint="eastAsia"/>
                      <w:b/>
                      <w:bCs/>
                      <w:sz w:val="18"/>
                      <w:szCs w:val="18"/>
                    </w:rPr>
                    <w:t>用水指标</w:t>
                  </w:r>
                </w:p>
              </w:tc>
              <w:tc>
                <w:tcPr>
                  <w:tcW w:w="1002" w:type="dxa"/>
                  <w:tcBorders>
                    <w:bottom w:val="single" w:color="auto" w:sz="12" w:space="0"/>
                    <w:tl2br w:val="nil"/>
                    <w:tr2bl w:val="nil"/>
                  </w:tcBorders>
                  <w:vAlign w:val="center"/>
                </w:tcPr>
                <w:p>
                  <w:pPr>
                    <w:spacing w:line="240" w:lineRule="auto"/>
                    <w:ind w:firstLine="0" w:firstLineChars="0"/>
                    <w:jc w:val="center"/>
                    <w:rPr>
                      <w:b/>
                      <w:bCs/>
                      <w:sz w:val="18"/>
                      <w:szCs w:val="18"/>
                    </w:rPr>
                  </w:pPr>
                  <w:r>
                    <w:rPr>
                      <w:rFonts w:hint="eastAsia"/>
                      <w:b/>
                      <w:bCs/>
                      <w:sz w:val="18"/>
                      <w:szCs w:val="18"/>
                    </w:rPr>
                    <w:t>新鲜水（m</w:t>
                  </w:r>
                  <w:r>
                    <w:rPr>
                      <w:rFonts w:hint="eastAsia"/>
                      <w:b/>
                      <w:bCs/>
                      <w:sz w:val="18"/>
                      <w:szCs w:val="18"/>
                      <w:vertAlign w:val="superscript"/>
                    </w:rPr>
                    <w:t>3</w:t>
                  </w:r>
                  <w:r>
                    <w:rPr>
                      <w:rFonts w:hint="eastAsia"/>
                      <w:b/>
                      <w:bCs/>
                      <w:sz w:val="18"/>
                      <w:szCs w:val="18"/>
                    </w:rPr>
                    <w:t>/d）</w:t>
                  </w:r>
                </w:p>
              </w:tc>
              <w:tc>
                <w:tcPr>
                  <w:tcW w:w="993" w:type="dxa"/>
                  <w:tcBorders>
                    <w:tl2br w:val="nil"/>
                    <w:tr2bl w:val="nil"/>
                  </w:tcBorders>
                  <w:vAlign w:val="center"/>
                </w:tcPr>
                <w:p>
                  <w:pPr>
                    <w:spacing w:line="240" w:lineRule="auto"/>
                    <w:ind w:firstLine="0" w:firstLineChars="0"/>
                    <w:jc w:val="center"/>
                    <w:rPr>
                      <w:b/>
                      <w:bCs/>
                      <w:sz w:val="18"/>
                      <w:szCs w:val="18"/>
                    </w:rPr>
                  </w:pPr>
                  <w:r>
                    <w:rPr>
                      <w:rFonts w:hint="eastAsia"/>
                      <w:b/>
                      <w:bCs/>
                      <w:sz w:val="18"/>
                      <w:szCs w:val="18"/>
                    </w:rPr>
                    <w:t>排水量（m</w:t>
                  </w:r>
                  <w:r>
                    <w:rPr>
                      <w:rFonts w:hint="eastAsia"/>
                      <w:b/>
                      <w:bCs/>
                      <w:sz w:val="18"/>
                      <w:szCs w:val="18"/>
                      <w:vertAlign w:val="superscript"/>
                    </w:rPr>
                    <w:t>3</w:t>
                  </w:r>
                  <w:r>
                    <w:rPr>
                      <w:rFonts w:hint="eastAsia"/>
                      <w:b/>
                      <w:bCs/>
                      <w:sz w:val="18"/>
                      <w:szCs w:val="18"/>
                    </w:rPr>
                    <w:t>/d）</w:t>
                  </w:r>
                </w:p>
              </w:tc>
              <w:tc>
                <w:tcPr>
                  <w:tcW w:w="1417" w:type="dxa"/>
                  <w:tcBorders>
                    <w:tl2br w:val="nil"/>
                    <w:tr2bl w:val="nil"/>
                  </w:tcBorders>
                  <w:vAlign w:val="center"/>
                </w:tcPr>
                <w:p>
                  <w:pPr>
                    <w:spacing w:line="240" w:lineRule="auto"/>
                    <w:ind w:firstLine="0" w:firstLineChars="0"/>
                    <w:jc w:val="center"/>
                    <w:rPr>
                      <w:b/>
                      <w:bCs/>
                      <w:sz w:val="18"/>
                      <w:szCs w:val="18"/>
                    </w:rPr>
                  </w:pPr>
                  <w:r>
                    <w:rPr>
                      <w:rFonts w:hint="eastAsia"/>
                      <w:b/>
                      <w:bCs/>
                      <w:sz w:val="18"/>
                      <w:szCs w:val="18"/>
                    </w:rPr>
                    <w:t>新鲜水量（m</w:t>
                  </w:r>
                  <w:r>
                    <w:rPr>
                      <w:rFonts w:hint="eastAsia"/>
                      <w:b/>
                      <w:bCs/>
                      <w:sz w:val="18"/>
                      <w:szCs w:val="18"/>
                      <w:vertAlign w:val="superscript"/>
                    </w:rPr>
                    <w:t>3</w:t>
                  </w:r>
                  <w:r>
                    <w:rPr>
                      <w:rFonts w:hint="eastAsia"/>
                      <w:b/>
                      <w:bCs/>
                      <w:sz w:val="18"/>
                      <w:szCs w:val="18"/>
                    </w:rPr>
                    <w:t>/</w:t>
                  </w:r>
                  <w:r>
                    <w:rPr>
                      <w:rFonts w:hint="eastAsia"/>
                      <w:b/>
                      <w:bCs/>
                      <w:sz w:val="18"/>
                      <w:szCs w:val="18"/>
                      <w:lang w:val="en-US" w:eastAsia="zh-CN"/>
                    </w:rPr>
                    <w:t>a</w:t>
                  </w:r>
                  <w:r>
                    <w:rPr>
                      <w:rFonts w:hint="eastAsia"/>
                      <w:b/>
                      <w:bCs/>
                      <w:sz w:val="18"/>
                      <w:szCs w:val="18"/>
                    </w:rPr>
                    <w:t>）</w:t>
                  </w:r>
                </w:p>
              </w:tc>
              <w:tc>
                <w:tcPr>
                  <w:tcW w:w="1367" w:type="dxa"/>
                  <w:tcBorders>
                    <w:tl2br w:val="nil"/>
                    <w:tr2bl w:val="nil"/>
                  </w:tcBorders>
                  <w:vAlign w:val="center"/>
                </w:tcPr>
                <w:p>
                  <w:pPr>
                    <w:spacing w:line="240" w:lineRule="auto"/>
                    <w:ind w:firstLine="0" w:firstLineChars="0"/>
                    <w:jc w:val="center"/>
                    <w:rPr>
                      <w:b/>
                      <w:bCs/>
                      <w:sz w:val="18"/>
                      <w:szCs w:val="18"/>
                    </w:rPr>
                  </w:pPr>
                  <w:r>
                    <w:rPr>
                      <w:rFonts w:hint="eastAsia"/>
                      <w:b/>
                      <w:bCs/>
                      <w:sz w:val="18"/>
                      <w:szCs w:val="18"/>
                    </w:rPr>
                    <w:t>排水量（m</w:t>
                  </w:r>
                  <w:r>
                    <w:rPr>
                      <w:rFonts w:hint="eastAsia"/>
                      <w:b/>
                      <w:bCs/>
                      <w:sz w:val="18"/>
                      <w:szCs w:val="18"/>
                      <w:vertAlign w:val="superscript"/>
                    </w:rPr>
                    <w:t>3</w:t>
                  </w:r>
                  <w:r>
                    <w:rPr>
                      <w:rFonts w:hint="eastAsia"/>
                      <w:b/>
                      <w:bCs/>
                      <w:sz w:val="18"/>
                      <w:szCs w:val="18"/>
                    </w:rPr>
                    <w:t>/</w:t>
                  </w:r>
                  <w:r>
                    <w:rPr>
                      <w:rFonts w:hint="eastAsia"/>
                      <w:b/>
                      <w:bCs/>
                      <w:sz w:val="18"/>
                      <w:szCs w:val="18"/>
                      <w:lang w:val="en-US" w:eastAsia="zh-CN"/>
                    </w:rPr>
                    <w:t>a</w:t>
                  </w:r>
                  <w:r>
                    <w:rPr>
                      <w:rFonts w:hint="eastAsia"/>
                      <w:b/>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4" w:type="dxa"/>
                  <w:tcBorders>
                    <w:top w:val="single" w:color="auto" w:sz="12" w:space="0"/>
                  </w:tcBorders>
                  <w:vAlign w:val="center"/>
                </w:tcPr>
                <w:p>
                  <w:pPr>
                    <w:spacing w:line="240" w:lineRule="auto"/>
                    <w:ind w:firstLine="0" w:firstLineChars="0"/>
                    <w:jc w:val="center"/>
                    <w:rPr>
                      <w:b/>
                      <w:sz w:val="18"/>
                      <w:szCs w:val="18"/>
                    </w:rPr>
                  </w:pPr>
                  <w:r>
                    <w:rPr>
                      <w:rFonts w:hint="eastAsia"/>
                      <w:b/>
                      <w:sz w:val="18"/>
                      <w:szCs w:val="18"/>
                    </w:rPr>
                    <w:t>1</w:t>
                  </w:r>
                </w:p>
              </w:tc>
              <w:tc>
                <w:tcPr>
                  <w:tcW w:w="1109" w:type="dxa"/>
                  <w:tcBorders>
                    <w:top w:val="single" w:color="auto" w:sz="12" w:space="0"/>
                  </w:tcBorders>
                  <w:vAlign w:val="center"/>
                </w:tcPr>
                <w:p>
                  <w:pPr>
                    <w:spacing w:line="240" w:lineRule="auto"/>
                    <w:ind w:firstLine="0" w:firstLineChars="0"/>
                    <w:jc w:val="center"/>
                    <w:rPr>
                      <w:b/>
                      <w:sz w:val="18"/>
                      <w:szCs w:val="18"/>
                    </w:rPr>
                  </w:pPr>
                  <w:r>
                    <w:rPr>
                      <w:rFonts w:hint="eastAsia"/>
                      <w:b/>
                      <w:sz w:val="18"/>
                      <w:szCs w:val="18"/>
                    </w:rPr>
                    <w:t>生活用水</w:t>
                  </w:r>
                </w:p>
              </w:tc>
              <w:tc>
                <w:tcPr>
                  <w:tcW w:w="1579" w:type="dxa"/>
                  <w:tcBorders>
                    <w:top w:val="single" w:color="auto" w:sz="12" w:space="0"/>
                  </w:tcBorders>
                  <w:vAlign w:val="center"/>
                </w:tcPr>
                <w:p>
                  <w:pPr>
                    <w:spacing w:line="240" w:lineRule="auto"/>
                    <w:ind w:firstLine="0" w:firstLineChars="0"/>
                    <w:jc w:val="center"/>
                    <w:rPr>
                      <w:b/>
                      <w:sz w:val="18"/>
                      <w:szCs w:val="18"/>
                    </w:rPr>
                  </w:pPr>
                  <w:r>
                    <w:rPr>
                      <w:rFonts w:hint="eastAsia"/>
                      <w:b/>
                      <w:sz w:val="18"/>
                      <w:szCs w:val="18"/>
                    </w:rPr>
                    <w:t>30人，90L/（p.d）</w:t>
                  </w:r>
                </w:p>
              </w:tc>
              <w:tc>
                <w:tcPr>
                  <w:tcW w:w="1002" w:type="dxa"/>
                  <w:tcBorders>
                    <w:top w:val="single" w:color="auto" w:sz="12" w:space="0"/>
                  </w:tcBorders>
                  <w:vAlign w:val="center"/>
                </w:tcPr>
                <w:p>
                  <w:pPr>
                    <w:spacing w:line="240" w:lineRule="auto"/>
                    <w:ind w:firstLine="0" w:firstLineChars="0"/>
                    <w:jc w:val="center"/>
                    <w:rPr>
                      <w:b/>
                      <w:sz w:val="18"/>
                      <w:szCs w:val="18"/>
                    </w:rPr>
                  </w:pPr>
                  <w:r>
                    <w:rPr>
                      <w:rFonts w:hint="eastAsia"/>
                      <w:b/>
                      <w:sz w:val="18"/>
                      <w:szCs w:val="18"/>
                    </w:rPr>
                    <w:t>2.7</w:t>
                  </w:r>
                </w:p>
              </w:tc>
              <w:tc>
                <w:tcPr>
                  <w:tcW w:w="993" w:type="dxa"/>
                  <w:tcBorders>
                    <w:top w:val="single" w:color="auto" w:sz="12" w:space="0"/>
                  </w:tcBorders>
                  <w:vAlign w:val="center"/>
                </w:tcPr>
                <w:p>
                  <w:pPr>
                    <w:spacing w:line="240" w:lineRule="auto"/>
                    <w:ind w:firstLine="0" w:firstLineChars="0"/>
                    <w:jc w:val="center"/>
                    <w:rPr>
                      <w:b/>
                      <w:sz w:val="18"/>
                      <w:szCs w:val="18"/>
                    </w:rPr>
                  </w:pPr>
                  <w:r>
                    <w:rPr>
                      <w:rFonts w:hint="eastAsia"/>
                      <w:b/>
                      <w:sz w:val="18"/>
                      <w:szCs w:val="18"/>
                    </w:rPr>
                    <w:t>2.16</w:t>
                  </w:r>
                </w:p>
              </w:tc>
              <w:tc>
                <w:tcPr>
                  <w:tcW w:w="1417" w:type="dxa"/>
                  <w:tcBorders>
                    <w:top w:val="single" w:color="auto" w:sz="12" w:space="0"/>
                  </w:tcBorders>
                  <w:vAlign w:val="center"/>
                </w:tcPr>
                <w:p>
                  <w:pPr>
                    <w:spacing w:line="240" w:lineRule="auto"/>
                    <w:ind w:firstLine="0" w:firstLineChars="0"/>
                    <w:jc w:val="center"/>
                    <w:rPr>
                      <w:b/>
                      <w:sz w:val="18"/>
                      <w:szCs w:val="18"/>
                    </w:rPr>
                  </w:pPr>
                  <w:r>
                    <w:rPr>
                      <w:rFonts w:hint="eastAsia"/>
                      <w:b/>
                      <w:sz w:val="18"/>
                      <w:szCs w:val="18"/>
                    </w:rPr>
                    <w:t>810</w:t>
                  </w:r>
                </w:p>
              </w:tc>
              <w:tc>
                <w:tcPr>
                  <w:tcW w:w="1367" w:type="dxa"/>
                  <w:tcBorders>
                    <w:top w:val="single" w:color="auto" w:sz="12" w:space="0"/>
                  </w:tcBorders>
                  <w:vAlign w:val="center"/>
                </w:tcPr>
                <w:p>
                  <w:pPr>
                    <w:spacing w:line="240" w:lineRule="auto"/>
                    <w:ind w:firstLine="0" w:firstLineChars="0"/>
                    <w:jc w:val="center"/>
                    <w:rPr>
                      <w:b/>
                      <w:sz w:val="18"/>
                      <w:szCs w:val="18"/>
                    </w:rPr>
                  </w:pPr>
                  <w:r>
                    <w:rPr>
                      <w:rFonts w:hint="eastAsia"/>
                      <w:b/>
                      <w:sz w:val="18"/>
                      <w:szCs w:val="18"/>
                    </w:rPr>
                    <w:t>648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554" w:type="dxa"/>
                  <w:tcBorders>
                    <w:tl2br w:val="nil"/>
                    <w:tr2bl w:val="nil"/>
                  </w:tcBorders>
                  <w:vAlign w:val="center"/>
                </w:tcPr>
                <w:p>
                  <w:pPr>
                    <w:spacing w:line="240" w:lineRule="auto"/>
                    <w:ind w:firstLine="0" w:firstLineChars="0"/>
                    <w:jc w:val="center"/>
                    <w:rPr>
                      <w:b/>
                      <w:sz w:val="18"/>
                      <w:szCs w:val="18"/>
                    </w:rPr>
                  </w:pPr>
                  <w:r>
                    <w:rPr>
                      <w:rFonts w:hint="eastAsia"/>
                      <w:b/>
                      <w:sz w:val="18"/>
                      <w:szCs w:val="18"/>
                    </w:rPr>
                    <w:t>2</w:t>
                  </w:r>
                </w:p>
              </w:tc>
              <w:tc>
                <w:tcPr>
                  <w:tcW w:w="1109" w:type="dxa"/>
                  <w:tcBorders>
                    <w:tl2br w:val="nil"/>
                    <w:tr2bl w:val="nil"/>
                  </w:tcBorders>
                  <w:vAlign w:val="center"/>
                </w:tcPr>
                <w:p>
                  <w:pPr>
                    <w:spacing w:line="240" w:lineRule="auto"/>
                    <w:ind w:firstLine="0" w:firstLineChars="0"/>
                    <w:jc w:val="center"/>
                    <w:rPr>
                      <w:b/>
                      <w:sz w:val="18"/>
                      <w:szCs w:val="18"/>
                    </w:rPr>
                  </w:pPr>
                  <w:r>
                    <w:rPr>
                      <w:rFonts w:hint="eastAsia"/>
                      <w:b/>
                      <w:sz w:val="18"/>
                      <w:szCs w:val="18"/>
                    </w:rPr>
                    <w:t>洗车用水</w:t>
                  </w:r>
                </w:p>
              </w:tc>
              <w:tc>
                <w:tcPr>
                  <w:tcW w:w="1579" w:type="dxa"/>
                  <w:tcBorders>
                    <w:tl2br w:val="nil"/>
                    <w:tr2bl w:val="nil"/>
                  </w:tcBorders>
                  <w:vAlign w:val="center"/>
                </w:tcPr>
                <w:p>
                  <w:pPr>
                    <w:spacing w:line="240" w:lineRule="auto"/>
                    <w:ind w:firstLine="0" w:firstLineChars="0"/>
                    <w:jc w:val="center"/>
                    <w:rPr>
                      <w:b/>
                      <w:sz w:val="18"/>
                      <w:szCs w:val="18"/>
                    </w:rPr>
                  </w:pPr>
                  <w:r>
                    <w:rPr>
                      <w:rFonts w:hint="eastAsia"/>
                      <w:b/>
                      <w:sz w:val="18"/>
                      <w:szCs w:val="18"/>
                    </w:rPr>
                    <w:t>40L/（辆·次）</w:t>
                  </w:r>
                </w:p>
                <w:p>
                  <w:pPr>
                    <w:spacing w:line="240" w:lineRule="auto"/>
                    <w:ind w:firstLine="0" w:firstLineChars="0"/>
                    <w:jc w:val="center"/>
                    <w:rPr>
                      <w:b/>
                      <w:sz w:val="18"/>
                      <w:szCs w:val="18"/>
                    </w:rPr>
                  </w:pPr>
                  <w:r>
                    <w:rPr>
                      <w:rFonts w:hint="eastAsia"/>
                      <w:b/>
                      <w:sz w:val="18"/>
                      <w:szCs w:val="18"/>
                    </w:rPr>
                    <w:t>5辆</w:t>
                  </w:r>
                </w:p>
              </w:tc>
              <w:tc>
                <w:tcPr>
                  <w:tcW w:w="1002" w:type="dxa"/>
                  <w:tcBorders>
                    <w:tl2br w:val="nil"/>
                    <w:tr2bl w:val="nil"/>
                  </w:tcBorders>
                  <w:vAlign w:val="center"/>
                </w:tcPr>
                <w:p>
                  <w:pPr>
                    <w:spacing w:line="240" w:lineRule="auto"/>
                    <w:ind w:firstLine="0" w:firstLineChars="0"/>
                    <w:jc w:val="center"/>
                    <w:rPr>
                      <w:b/>
                      <w:sz w:val="18"/>
                      <w:szCs w:val="18"/>
                    </w:rPr>
                  </w:pPr>
                  <w:r>
                    <w:rPr>
                      <w:rFonts w:hint="eastAsia"/>
                      <w:b/>
                      <w:sz w:val="18"/>
                      <w:szCs w:val="18"/>
                    </w:rPr>
                    <w:t>0.05</w:t>
                  </w:r>
                </w:p>
              </w:tc>
              <w:tc>
                <w:tcPr>
                  <w:tcW w:w="993" w:type="dxa"/>
                  <w:tcBorders>
                    <w:tl2br w:val="nil"/>
                    <w:tr2bl w:val="nil"/>
                  </w:tcBorders>
                  <w:vAlign w:val="center"/>
                </w:tcPr>
                <w:p>
                  <w:pPr>
                    <w:spacing w:line="240" w:lineRule="auto"/>
                    <w:ind w:firstLine="0" w:firstLineChars="0"/>
                    <w:jc w:val="center"/>
                    <w:rPr>
                      <w:b/>
                      <w:sz w:val="18"/>
                      <w:szCs w:val="18"/>
                    </w:rPr>
                  </w:pPr>
                  <w:r>
                    <w:rPr>
                      <w:rFonts w:hint="eastAsia"/>
                      <w:b/>
                      <w:sz w:val="18"/>
                      <w:szCs w:val="18"/>
                    </w:rPr>
                    <w:t>0</w:t>
                  </w:r>
                </w:p>
              </w:tc>
              <w:tc>
                <w:tcPr>
                  <w:tcW w:w="1417" w:type="dxa"/>
                  <w:tcBorders>
                    <w:tl2br w:val="nil"/>
                    <w:tr2bl w:val="nil"/>
                  </w:tcBorders>
                  <w:vAlign w:val="center"/>
                </w:tcPr>
                <w:p>
                  <w:pPr>
                    <w:spacing w:line="240" w:lineRule="auto"/>
                    <w:ind w:firstLine="0" w:firstLineChars="0"/>
                    <w:jc w:val="center"/>
                    <w:rPr>
                      <w:b/>
                      <w:sz w:val="18"/>
                      <w:szCs w:val="18"/>
                    </w:rPr>
                  </w:pPr>
                  <w:r>
                    <w:rPr>
                      <w:rFonts w:hint="eastAsia"/>
                      <w:b/>
                      <w:sz w:val="18"/>
                      <w:szCs w:val="18"/>
                    </w:rPr>
                    <w:t>15</w:t>
                  </w:r>
                </w:p>
              </w:tc>
              <w:tc>
                <w:tcPr>
                  <w:tcW w:w="1367" w:type="dxa"/>
                  <w:tcBorders>
                    <w:tl2br w:val="nil"/>
                    <w:tr2bl w:val="nil"/>
                  </w:tcBorders>
                  <w:vAlign w:val="center"/>
                </w:tcPr>
                <w:p>
                  <w:pPr>
                    <w:spacing w:line="240" w:lineRule="auto"/>
                    <w:ind w:firstLine="0" w:firstLineChars="0"/>
                    <w:jc w:val="center"/>
                    <w:rPr>
                      <w:b/>
                      <w:sz w:val="18"/>
                      <w:szCs w:val="18"/>
                    </w:rPr>
                  </w:pPr>
                  <w:r>
                    <w:rPr>
                      <w:rFonts w:hint="eastAsia"/>
                      <w:b/>
                      <w:sz w:val="18"/>
                      <w:szCs w:val="18"/>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42" w:type="dxa"/>
                  <w:gridSpan w:val="3"/>
                  <w:tcBorders>
                    <w:tl2br w:val="nil"/>
                    <w:tr2bl w:val="nil"/>
                  </w:tcBorders>
                  <w:vAlign w:val="center"/>
                </w:tcPr>
                <w:p>
                  <w:pPr>
                    <w:spacing w:line="240" w:lineRule="auto"/>
                    <w:ind w:firstLine="0" w:firstLineChars="0"/>
                    <w:jc w:val="center"/>
                    <w:rPr>
                      <w:b/>
                      <w:sz w:val="18"/>
                      <w:szCs w:val="18"/>
                    </w:rPr>
                  </w:pPr>
                  <w:r>
                    <w:rPr>
                      <w:rFonts w:hint="eastAsia"/>
                      <w:b/>
                      <w:sz w:val="18"/>
                      <w:szCs w:val="18"/>
                    </w:rPr>
                    <w:t>合计</w:t>
                  </w:r>
                </w:p>
              </w:tc>
              <w:tc>
                <w:tcPr>
                  <w:tcW w:w="1002" w:type="dxa"/>
                  <w:tcBorders>
                    <w:tl2br w:val="nil"/>
                    <w:tr2bl w:val="nil"/>
                  </w:tcBorders>
                  <w:vAlign w:val="center"/>
                </w:tcPr>
                <w:p>
                  <w:pPr>
                    <w:widowControl/>
                    <w:spacing w:line="240" w:lineRule="auto"/>
                    <w:ind w:firstLine="0" w:firstLineChars="0"/>
                    <w:jc w:val="center"/>
                    <w:textAlignment w:val="center"/>
                    <w:rPr>
                      <w:b/>
                      <w:sz w:val="18"/>
                      <w:szCs w:val="18"/>
                    </w:rPr>
                  </w:pPr>
                  <w:r>
                    <w:rPr>
                      <w:rFonts w:hint="eastAsia"/>
                      <w:b/>
                      <w:sz w:val="18"/>
                      <w:szCs w:val="18"/>
                    </w:rPr>
                    <w:t>2.75</w:t>
                  </w:r>
                </w:p>
              </w:tc>
              <w:tc>
                <w:tcPr>
                  <w:tcW w:w="993" w:type="dxa"/>
                  <w:tcBorders>
                    <w:tl2br w:val="nil"/>
                    <w:tr2bl w:val="nil"/>
                  </w:tcBorders>
                  <w:vAlign w:val="center"/>
                </w:tcPr>
                <w:p>
                  <w:pPr>
                    <w:widowControl/>
                    <w:spacing w:line="240" w:lineRule="auto"/>
                    <w:ind w:firstLine="0" w:firstLineChars="0"/>
                    <w:jc w:val="center"/>
                    <w:textAlignment w:val="center"/>
                    <w:rPr>
                      <w:b/>
                      <w:sz w:val="18"/>
                      <w:szCs w:val="18"/>
                    </w:rPr>
                  </w:pPr>
                  <w:r>
                    <w:rPr>
                      <w:rFonts w:hint="eastAsia"/>
                      <w:b/>
                      <w:sz w:val="18"/>
                      <w:szCs w:val="18"/>
                    </w:rPr>
                    <w:t>2.16</w:t>
                  </w:r>
                </w:p>
              </w:tc>
              <w:tc>
                <w:tcPr>
                  <w:tcW w:w="1417" w:type="dxa"/>
                  <w:tcBorders>
                    <w:tl2br w:val="nil"/>
                    <w:tr2bl w:val="nil"/>
                  </w:tcBorders>
                  <w:vAlign w:val="center"/>
                </w:tcPr>
                <w:p>
                  <w:pPr>
                    <w:widowControl/>
                    <w:spacing w:line="240" w:lineRule="auto"/>
                    <w:ind w:firstLine="0" w:firstLineChars="0"/>
                    <w:jc w:val="center"/>
                    <w:textAlignment w:val="center"/>
                    <w:rPr>
                      <w:b/>
                      <w:sz w:val="18"/>
                      <w:szCs w:val="18"/>
                    </w:rPr>
                  </w:pPr>
                  <w:r>
                    <w:rPr>
                      <w:rFonts w:hint="eastAsia"/>
                      <w:b/>
                      <w:sz w:val="18"/>
                      <w:szCs w:val="18"/>
                    </w:rPr>
                    <w:t>825</w:t>
                  </w:r>
                </w:p>
              </w:tc>
              <w:tc>
                <w:tcPr>
                  <w:tcW w:w="1367" w:type="dxa"/>
                  <w:tcBorders>
                    <w:tl2br w:val="nil"/>
                    <w:tr2bl w:val="nil"/>
                  </w:tcBorders>
                  <w:vAlign w:val="center"/>
                </w:tcPr>
                <w:p>
                  <w:pPr>
                    <w:widowControl/>
                    <w:spacing w:line="240" w:lineRule="auto"/>
                    <w:ind w:firstLine="0" w:firstLineChars="0"/>
                    <w:jc w:val="center"/>
                    <w:textAlignment w:val="center"/>
                    <w:rPr>
                      <w:b/>
                      <w:sz w:val="18"/>
                      <w:szCs w:val="18"/>
                    </w:rPr>
                  </w:pPr>
                  <w:r>
                    <w:rPr>
                      <w:rFonts w:hint="eastAsia"/>
                      <w:b/>
                      <w:sz w:val="18"/>
                      <w:szCs w:val="18"/>
                    </w:rPr>
                    <w:t>648</w:t>
                  </w:r>
                </w:p>
              </w:tc>
            </w:tr>
          </w:tbl>
          <w:p>
            <w:pPr>
              <w:ind w:firstLine="480"/>
            </w:pPr>
            <w:r>
              <w:pict>
                <v:shape id="_x0000_s1026" o:spid="_x0000_s1026" o:spt="75" type="#_x0000_t75" style="position:absolute;left:0pt;margin-left:4.1pt;margin-top:13.75pt;height:81pt;width:398.25pt;z-index:251663360;mso-width-relative:page;mso-height-relative:page;" o:ole="t" filled="f" o:preferrelative="t" stroked="f" coordsize="21600,21600">
                  <v:path/>
                  <v:fill on="f" focussize="0,0"/>
                  <v:stroke on="f" joinstyle="miter"/>
                  <v:imagedata r:id="rId25" o:title=""/>
                  <o:lock v:ext="edit" aspectratio="f"/>
                </v:shape>
                <o:OLEObject Type="Embed" ProgID="Visio.Drawing.15" ShapeID="_x0000_s1026" DrawAspect="Content" ObjectID="_1468075725" r:id="rId24">
                  <o:LockedField>false</o:LockedField>
                </o:OLEObject>
              </w:pict>
            </w:r>
          </w:p>
          <w:p>
            <w:pPr>
              <w:pStyle w:val="5"/>
            </w:pPr>
          </w:p>
          <w:p>
            <w:pPr>
              <w:pStyle w:val="5"/>
            </w:pPr>
          </w:p>
          <w:p>
            <w:pPr>
              <w:pStyle w:val="5"/>
            </w:pPr>
          </w:p>
          <w:p>
            <w:pPr>
              <w:pStyle w:val="5"/>
              <w:spacing w:line="240" w:lineRule="auto"/>
              <w:jc w:val="center"/>
              <w:rPr>
                <w:bCs/>
                <w:sz w:val="21"/>
                <w:szCs w:val="21"/>
              </w:rPr>
            </w:pPr>
            <w:r>
              <w:rPr>
                <w:rFonts w:hint="eastAsia"/>
                <w:bCs/>
                <w:sz w:val="21"/>
                <w:szCs w:val="21"/>
              </w:rPr>
              <w:t>图2-1  水平衡图（m</w:t>
            </w:r>
            <w:r>
              <w:rPr>
                <w:rFonts w:hint="eastAsia"/>
                <w:bCs/>
                <w:sz w:val="21"/>
                <w:szCs w:val="21"/>
                <w:vertAlign w:val="superscript"/>
              </w:rPr>
              <w:t>3</w:t>
            </w:r>
            <w:r>
              <w:rPr>
                <w:rFonts w:hint="eastAsia"/>
                <w:bCs/>
                <w:sz w:val="21"/>
                <w:szCs w:val="21"/>
              </w:rPr>
              <w:t>/d）</w:t>
            </w:r>
          </w:p>
          <w:p>
            <w:pPr>
              <w:pStyle w:val="5"/>
            </w:pPr>
            <w:r>
              <w:rPr>
                <w:rFonts w:hint="eastAsia"/>
              </w:rPr>
              <w:t>2.6.2供电</w:t>
            </w:r>
          </w:p>
          <w:p>
            <w:pPr>
              <w:ind w:firstLine="480"/>
            </w:pPr>
            <w:r>
              <w:rPr>
                <w:rFonts w:hint="eastAsia"/>
              </w:rPr>
              <w:t>本项目由东方恒略110KV专用供电线路供应</w:t>
            </w:r>
            <w:r>
              <w:rPr>
                <w:rFonts w:hint="eastAsia" w:hAnsi="黑体" w:eastAsia="黑体" w:cs="Times New Roman"/>
                <w:sz w:val="21"/>
                <w:szCs w:val="21"/>
              </w:rPr>
              <w:t>，</w:t>
            </w:r>
            <w:r>
              <w:rPr>
                <w:rFonts w:hint="eastAsia"/>
              </w:rPr>
              <w:t>新建10kv变压器。</w:t>
            </w:r>
          </w:p>
          <w:p>
            <w:pPr>
              <w:pStyle w:val="5"/>
            </w:pPr>
            <w:r>
              <w:rPr>
                <w:rFonts w:hint="eastAsia"/>
              </w:rPr>
              <w:t>2.6.3供暖</w:t>
            </w:r>
          </w:p>
          <w:p>
            <w:pPr>
              <w:ind w:firstLine="480"/>
            </w:pPr>
            <w:r>
              <w:rPr>
                <w:rFonts w:hint="eastAsia"/>
              </w:rPr>
              <w:t>本项目冬季生产车间不供暖，办公室采用电采暖。</w:t>
            </w:r>
          </w:p>
          <w:p>
            <w:pPr>
              <w:pStyle w:val="4"/>
            </w:pPr>
            <w:r>
              <w:rPr>
                <w:rFonts w:hint="eastAsia"/>
              </w:rPr>
              <w:t>2.7厂区平面布置</w:t>
            </w:r>
          </w:p>
          <w:p>
            <w:pPr>
              <w:ind w:firstLine="480"/>
            </w:pPr>
            <w:r>
              <w:rPr>
                <w:rFonts w:hint="eastAsia"/>
              </w:rPr>
              <w:t>本项目租用盛泰源50亩场地，厂区平面布置呈东西向的矩形，主要建筑为一座车间、地磅和办公室。车间内划分为库区、分拣区、剪切区和打包区。本项目厂区物料运输短捷、顺畅，建筑物布置集中，能够满足安全、卫生、防火、运输等规范的要求。因此，本项目平面布置较为合理。车间平面布置示意图见附图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dxa"/>
            <w:vAlign w:val="center"/>
          </w:tcPr>
          <w:p>
            <w:pPr>
              <w:widowControl/>
              <w:adjustRightInd w:val="0"/>
              <w:snapToGrid w:val="0"/>
              <w:ind w:firstLine="0" w:firstLineChars="0"/>
              <w:jc w:val="center"/>
              <w:rPr>
                <w:rFonts w:cs="Times New Roman"/>
                <w:kern w:val="0"/>
                <w:szCs w:val="21"/>
              </w:rPr>
            </w:pPr>
            <w:r>
              <w:rPr>
                <w:rFonts w:cs="Times New Roman"/>
                <w:b/>
                <w:bCs/>
                <w:kern w:val="0"/>
                <w:szCs w:val="21"/>
              </w:rPr>
              <w:t>工艺流程和产排污环节</w:t>
            </w:r>
          </w:p>
        </w:tc>
        <w:tc>
          <w:tcPr>
            <w:tcW w:w="8237" w:type="dxa"/>
          </w:tcPr>
          <w:p>
            <w:pPr>
              <w:pStyle w:val="4"/>
            </w:pPr>
            <w:r>
              <w:rPr>
                <w:rFonts w:hint="eastAsia"/>
              </w:rPr>
              <w:t>2.8工艺流程</w:t>
            </w:r>
          </w:p>
          <w:p>
            <w:pPr>
              <w:pStyle w:val="5"/>
            </w:pPr>
            <w:r>
              <w:rPr>
                <w:rFonts w:hint="eastAsia"/>
              </w:rPr>
              <w:t>2.8.1施工期工艺流程</w:t>
            </w:r>
          </w:p>
          <w:p>
            <w:pPr>
              <w:ind w:firstLine="480"/>
            </w:pPr>
            <w:r>
              <w:rPr>
                <w:rFonts w:hint="eastAsia"/>
              </w:rPr>
              <w:t>本项目租用现有厂房，项目施工期主要是厂房的装修和生产设备的安装。施工过程中会产生少量的扬尘、生活污水和建筑垃圾等。施工期工程工艺流程及产污环节见图2-2。</w:t>
            </w:r>
          </w:p>
          <w:p>
            <w:pPr>
              <w:spacing w:line="240" w:lineRule="auto"/>
              <w:ind w:firstLine="0" w:firstLineChars="0"/>
              <w:jc w:val="center"/>
              <w:rPr>
                <w:sz w:val="21"/>
                <w:szCs w:val="21"/>
              </w:rPr>
            </w:pPr>
            <w:r>
              <w:rPr>
                <w:sz w:val="18"/>
                <w:szCs w:val="18"/>
              </w:rPr>
              <w:pict>
                <v:shape id="_x0000_s1027" o:spid="_x0000_s1027" o:spt="75" type="#_x0000_t75" style="position:absolute;left:0pt;margin-left:97.65pt;margin-top:2.35pt;height:56.05pt;width:199.85pt;z-index:251665408;mso-width-relative:page;mso-height-relative:page;" o:ole="t" filled="f" o:preferrelative="t" stroked="f" coordsize="21600,21600">
                  <v:path/>
                  <v:fill on="f" focussize="0,0"/>
                  <v:stroke on="f" joinstyle="miter"/>
                  <v:imagedata r:id="rId27" o:title=""/>
                  <o:lock v:ext="edit" aspectratio="f"/>
                </v:shape>
                <o:OLEObject Type="Embed" ProgID="Visio.Drawing.15" ShapeID="_x0000_s1027" DrawAspect="Content" ObjectID="_1468075726" r:id="rId26">
                  <o:LockedField>false</o:LockedField>
                </o:OLEObject>
              </w:pict>
            </w:r>
          </w:p>
          <w:p>
            <w:pPr>
              <w:spacing w:line="240" w:lineRule="auto"/>
              <w:ind w:firstLine="0" w:firstLineChars="0"/>
              <w:jc w:val="center"/>
              <w:rPr>
                <w:sz w:val="18"/>
                <w:szCs w:val="18"/>
              </w:rPr>
            </w:pPr>
          </w:p>
          <w:p>
            <w:pPr>
              <w:spacing w:line="240" w:lineRule="auto"/>
              <w:ind w:firstLine="0" w:firstLineChars="0"/>
              <w:jc w:val="center"/>
              <w:rPr>
                <w:sz w:val="18"/>
                <w:szCs w:val="18"/>
              </w:rPr>
            </w:pPr>
          </w:p>
          <w:p>
            <w:pPr>
              <w:spacing w:line="240" w:lineRule="auto"/>
              <w:ind w:firstLine="0" w:firstLineChars="0"/>
              <w:jc w:val="center"/>
              <w:rPr>
                <w:sz w:val="18"/>
                <w:szCs w:val="18"/>
              </w:rPr>
            </w:pPr>
          </w:p>
          <w:p>
            <w:pPr>
              <w:spacing w:line="240" w:lineRule="auto"/>
              <w:ind w:firstLine="0" w:firstLineChars="0"/>
              <w:jc w:val="center"/>
              <w:rPr>
                <w:sz w:val="18"/>
                <w:szCs w:val="18"/>
              </w:rPr>
            </w:pPr>
          </w:p>
          <w:p>
            <w:pPr>
              <w:spacing w:line="240" w:lineRule="auto"/>
              <w:ind w:firstLine="0" w:firstLineChars="0"/>
              <w:rPr>
                <w:sz w:val="18"/>
                <w:szCs w:val="18"/>
              </w:rPr>
            </w:pPr>
          </w:p>
          <w:p>
            <w:pPr>
              <w:spacing w:line="240" w:lineRule="auto"/>
              <w:ind w:firstLine="0" w:firstLineChars="0"/>
              <w:jc w:val="center"/>
              <w:rPr>
                <w:sz w:val="18"/>
                <w:szCs w:val="18"/>
              </w:rPr>
            </w:pPr>
            <w:r>
              <w:rPr>
                <w:rFonts w:hint="eastAsia"/>
                <w:sz w:val="18"/>
                <w:szCs w:val="18"/>
              </w:rPr>
              <w:t>图例：G：废气、N：噪声、W：废水、S：固废</w:t>
            </w:r>
          </w:p>
          <w:p>
            <w:pPr>
              <w:pStyle w:val="33"/>
              <w:spacing w:after="0" w:line="240" w:lineRule="auto"/>
              <w:ind w:left="0" w:leftChars="0" w:firstLine="0" w:firstLineChars="0"/>
              <w:jc w:val="center"/>
              <w:rPr>
                <w:b/>
                <w:bCs/>
                <w:sz w:val="21"/>
                <w:szCs w:val="21"/>
              </w:rPr>
            </w:pPr>
            <w:r>
              <w:rPr>
                <w:rFonts w:hint="eastAsia"/>
                <w:b/>
                <w:bCs/>
                <w:sz w:val="21"/>
                <w:szCs w:val="21"/>
              </w:rPr>
              <w:t>图2-2  项目施工期工艺流程及产污环节</w:t>
            </w:r>
          </w:p>
          <w:p>
            <w:pPr>
              <w:pStyle w:val="5"/>
            </w:pPr>
            <w:r>
              <w:rPr>
                <w:rFonts w:hint="eastAsia"/>
              </w:rPr>
              <w:t>2.8.2运营期工艺流程</w:t>
            </w:r>
          </w:p>
          <w:p>
            <w:pPr>
              <w:ind w:firstLine="480"/>
            </w:pPr>
            <w:r>
              <w:rPr>
                <w:rFonts w:hint="eastAsia"/>
              </w:rPr>
              <w:t>本项目建设1条年加工5万吨废旧特种金属生产线，其成品外售盛泰源</w:t>
            </w:r>
            <w:r>
              <w:rPr>
                <w:rFonts w:hint="eastAsia"/>
                <w:lang w:val="en-US" w:eastAsia="zh-CN"/>
              </w:rPr>
              <w:t>和园区其他铸造厂</w:t>
            </w:r>
            <w:r>
              <w:rPr>
                <w:rFonts w:hint="eastAsia"/>
              </w:rPr>
              <w:t>。本项目原料销子表面可能沾有少量废润滑油，而盛泰源采用电弧炉熔炼工艺，对入炉原料表面的润滑油含量无要求，因此，本项目无需对销子表面沾染的少量废润滑油进行去除。本项目主要工序为分拣、剪切和打包，具体工艺流程图及产污环节见图2-3。</w:t>
            </w:r>
          </w:p>
          <w:p>
            <w:pPr>
              <w:ind w:firstLine="482"/>
              <w:rPr>
                <w:b/>
                <w:bCs/>
              </w:rPr>
            </w:pPr>
            <w:r>
              <w:rPr>
                <w:rFonts w:hint="eastAsia"/>
                <w:b/>
                <w:bCs/>
              </w:rPr>
              <w:t>工艺流程：</w:t>
            </w:r>
          </w:p>
          <w:p>
            <w:pPr>
              <w:ind w:firstLine="480"/>
            </w:pPr>
            <w:r>
              <w:rPr>
                <w:rFonts w:hint="eastAsia"/>
              </w:rPr>
              <w:t>（1）辐射检测及称重：运输车辆进入厂区后，用辐射检测仪进行辐射检测。当原料辐射检测超标时，警报灯将亮起，检测系统会记录下原料批次及辐射超标情况。检测超标的车辆禁止进入生产车间内，直接整车原路退回（不在厂内暂存），并立即通知辐射管理相关部门进行处理。辐射合格的车辆依次通过地磅进行称重。</w:t>
            </w:r>
          </w:p>
          <w:p>
            <w:pPr>
              <w:ind w:firstLine="480"/>
            </w:pPr>
            <w:r>
              <w:rPr>
                <w:rFonts w:hint="eastAsia"/>
              </w:rPr>
              <w:t>（2）卸料：将合格的废旧特种金属利用行吊-电磁吸盘、抓钢机在库房中卸下来。</w:t>
            </w:r>
          </w:p>
          <w:p>
            <w:pPr>
              <w:ind w:firstLine="480"/>
            </w:pPr>
            <w:r>
              <w:rPr>
                <w:rFonts w:hint="eastAsia"/>
              </w:rPr>
              <w:t>（3）人工分选：员工通过光谱仪对废旧特种金属按照种类及加工的难易程度进行人工分选，分选为大中型件、小型件。</w:t>
            </w:r>
          </w:p>
          <w:p>
            <w:pPr>
              <w:ind w:firstLine="480"/>
            </w:pPr>
            <w:r>
              <w:rPr>
                <w:rFonts w:hint="eastAsia"/>
              </w:rPr>
              <w:t>（4）剪切：利用行吊-电磁吸盘将大中型件转移至剪切区，使用龙门式废钢剪切机对大中型件进行剪切。</w:t>
            </w:r>
          </w:p>
          <w:p>
            <w:pPr>
              <w:ind w:firstLine="480"/>
            </w:pPr>
            <w:r>
              <w:rPr>
                <w:rFonts w:hint="eastAsia"/>
              </w:rPr>
              <w:t>（5）打包：将分类好的废钢利用电磁吸盘转移至打包区，利用金属液压打包机进行打包，打包成尺寸为30cm×30cm×30cm的块状特种钢。</w:t>
            </w:r>
          </w:p>
          <w:p>
            <w:pPr>
              <w:ind w:firstLine="480"/>
            </w:pPr>
            <w:r>
              <w:rPr>
                <w:rFonts w:hint="eastAsia"/>
              </w:rPr>
              <w:t>（6）外售：成品称重出售。</w:t>
            </w:r>
          </w:p>
          <w:p>
            <w:pPr>
              <w:pStyle w:val="42"/>
              <w:ind w:firstLine="480"/>
              <w:rPr>
                <w:color w:val="auto"/>
              </w:rPr>
            </w:pPr>
            <w:r>
              <w:rPr>
                <w:color w:val="auto"/>
              </w:rPr>
              <w:pict>
                <v:shape id="_x0000_s1028" o:spid="_x0000_s1028" o:spt="75" type="#_x0000_t75" style="position:absolute;left:0pt;margin-left:-4.5pt;margin-top:3.05pt;height:308.75pt;width:400.9pt;z-index:-251652096;mso-width-relative:page;mso-height-relative:page;" o:ole="t" filled="f" o:preferrelative="t" stroked="f" coordsize="21600,21600">
                  <v:path/>
                  <v:fill on="f" focussize="0,0"/>
                  <v:stroke on="f" joinstyle="miter"/>
                  <v:imagedata r:id="rId29" o:title=""/>
                  <o:lock v:ext="edit" aspectratio="t"/>
                </v:shape>
                <o:OLEObject Type="Embed" ProgID="Visio.Drawing.15" ShapeID="_x0000_s1028" DrawAspect="Content" ObjectID="_1468075727" r:id="rId28">
                  <o:LockedField>false</o:LockedField>
                </o:OLEObject>
              </w:pict>
            </w:r>
          </w:p>
          <w:p>
            <w:pPr>
              <w:pStyle w:val="14"/>
              <w:ind w:firstLine="400"/>
            </w:pPr>
          </w:p>
          <w:p>
            <w:pPr>
              <w:ind w:firstLine="480"/>
            </w:pPr>
          </w:p>
          <w:p>
            <w:pPr>
              <w:pStyle w:val="42"/>
              <w:ind w:firstLine="480"/>
              <w:rPr>
                <w:color w:val="auto"/>
              </w:rPr>
            </w:pPr>
          </w:p>
          <w:p>
            <w:pPr>
              <w:pStyle w:val="44"/>
              <w:ind w:firstLine="480"/>
            </w:pPr>
          </w:p>
          <w:p>
            <w:pPr>
              <w:ind w:firstLine="480"/>
            </w:pPr>
          </w:p>
          <w:p>
            <w:pPr>
              <w:pStyle w:val="42"/>
              <w:ind w:firstLine="480"/>
              <w:rPr>
                <w:color w:val="auto"/>
              </w:rPr>
            </w:pPr>
          </w:p>
          <w:p>
            <w:pPr>
              <w:pStyle w:val="44"/>
              <w:ind w:firstLine="480"/>
            </w:pPr>
          </w:p>
          <w:p>
            <w:pPr>
              <w:ind w:firstLine="480"/>
            </w:pPr>
          </w:p>
          <w:p>
            <w:pPr>
              <w:pStyle w:val="42"/>
              <w:ind w:firstLine="480"/>
              <w:rPr>
                <w:color w:val="auto"/>
              </w:rPr>
            </w:pPr>
          </w:p>
          <w:p>
            <w:pPr>
              <w:pStyle w:val="44"/>
              <w:ind w:firstLine="480"/>
            </w:pPr>
          </w:p>
          <w:p>
            <w:pPr>
              <w:ind w:firstLine="480"/>
            </w:pPr>
          </w:p>
          <w:p>
            <w:pPr>
              <w:pStyle w:val="42"/>
              <w:ind w:firstLine="480"/>
              <w:rPr>
                <w:color w:val="auto"/>
              </w:rPr>
            </w:pPr>
          </w:p>
          <w:p>
            <w:pPr>
              <w:pStyle w:val="44"/>
              <w:ind w:firstLine="480"/>
            </w:pPr>
          </w:p>
          <w:p>
            <w:pPr>
              <w:pStyle w:val="33"/>
              <w:spacing w:line="240" w:lineRule="auto"/>
              <w:ind w:left="480" w:firstLine="0" w:firstLineChars="0"/>
              <w:jc w:val="center"/>
              <w:rPr>
                <w:b/>
                <w:bCs/>
              </w:rPr>
            </w:pPr>
            <w:r>
              <w:rPr>
                <w:rFonts w:hint="eastAsia"/>
                <w:b/>
                <w:bCs/>
                <w:sz w:val="21"/>
                <w:szCs w:val="21"/>
              </w:rPr>
              <w:t>图2-3  工艺流程及产污环节图</w:t>
            </w:r>
          </w:p>
          <w:p>
            <w:pPr>
              <w:pStyle w:val="4"/>
            </w:pPr>
            <w:r>
              <w:rPr>
                <w:rFonts w:hint="eastAsia"/>
              </w:rPr>
              <w:t>2.9</w:t>
            </w:r>
            <w:r>
              <w:t>污染工序</w:t>
            </w:r>
          </w:p>
          <w:p>
            <w:pPr>
              <w:autoSpaceDE w:val="0"/>
              <w:autoSpaceDN w:val="0"/>
              <w:ind w:firstLine="480"/>
            </w:pPr>
            <w:r>
              <w:rPr>
                <w:rFonts w:hint="eastAsia"/>
              </w:rPr>
              <w:t>本项目主要污染工序可分为施工期和运营期两阶段。</w:t>
            </w:r>
          </w:p>
          <w:p>
            <w:pPr>
              <w:pStyle w:val="5"/>
            </w:pPr>
            <w:r>
              <w:rPr>
                <w:rFonts w:hint="eastAsia"/>
              </w:rPr>
              <w:t>2.9.1</w:t>
            </w:r>
            <w:r>
              <w:t>施工期污染工序</w:t>
            </w:r>
          </w:p>
          <w:p>
            <w:pPr>
              <w:ind w:firstLine="480"/>
            </w:pPr>
            <w:r>
              <w:rPr>
                <w:rFonts w:hint="eastAsia"/>
              </w:rPr>
              <w:t>（1）大气污染源</w:t>
            </w:r>
          </w:p>
          <w:p>
            <w:pPr>
              <w:ind w:firstLine="480"/>
            </w:pPr>
            <w:r>
              <w:rPr>
                <w:rFonts w:hint="eastAsia"/>
              </w:rPr>
              <w:t>施工扬尘。</w:t>
            </w:r>
          </w:p>
          <w:p>
            <w:pPr>
              <w:ind w:firstLine="480"/>
            </w:pPr>
            <w:r>
              <w:rPr>
                <w:rFonts w:hint="eastAsia"/>
              </w:rPr>
              <w:t>（2）废水</w:t>
            </w:r>
          </w:p>
          <w:p>
            <w:pPr>
              <w:ind w:firstLine="480"/>
            </w:pPr>
            <w:r>
              <w:rPr>
                <w:rFonts w:hint="eastAsia"/>
              </w:rPr>
              <w:t>施工人员产生的生活污水。</w:t>
            </w:r>
          </w:p>
          <w:p>
            <w:pPr>
              <w:ind w:firstLine="480"/>
            </w:pPr>
            <w:r>
              <w:rPr>
                <w:rFonts w:hint="eastAsia"/>
              </w:rPr>
              <w:t>（3）噪声</w:t>
            </w:r>
          </w:p>
          <w:p>
            <w:pPr>
              <w:ind w:firstLine="480"/>
            </w:pPr>
            <w:r>
              <w:rPr>
                <w:rFonts w:hint="eastAsia"/>
              </w:rPr>
              <w:t>施工作业噪声。</w:t>
            </w:r>
          </w:p>
          <w:p>
            <w:pPr>
              <w:ind w:firstLine="480"/>
            </w:pPr>
            <w:r>
              <w:rPr>
                <w:rFonts w:hint="eastAsia"/>
              </w:rPr>
              <w:t>（4）固体废弃物</w:t>
            </w:r>
          </w:p>
          <w:p>
            <w:pPr>
              <w:ind w:firstLine="480"/>
            </w:pPr>
            <w:r>
              <w:rPr>
                <w:rFonts w:hint="eastAsia"/>
              </w:rPr>
              <w:t>生活垃圾；</w:t>
            </w:r>
          </w:p>
          <w:p>
            <w:pPr>
              <w:ind w:firstLine="480"/>
            </w:pPr>
            <w:r>
              <w:rPr>
                <w:rFonts w:hint="eastAsia"/>
              </w:rPr>
              <w:t>建筑垃圾。</w:t>
            </w:r>
          </w:p>
          <w:p>
            <w:pPr>
              <w:pStyle w:val="5"/>
            </w:pPr>
            <w:r>
              <w:rPr>
                <w:rFonts w:hint="eastAsia"/>
              </w:rPr>
              <w:t>2.9.2运营期</w:t>
            </w:r>
            <w:r>
              <w:t>污染工序</w:t>
            </w:r>
          </w:p>
          <w:p>
            <w:pPr>
              <w:ind w:firstLine="480"/>
            </w:pPr>
            <w:r>
              <w:rPr>
                <w:rFonts w:hint="eastAsia"/>
              </w:rPr>
              <w:t>（1）大气污染源</w:t>
            </w:r>
          </w:p>
          <w:p>
            <w:pPr>
              <w:ind w:firstLine="480"/>
            </w:pPr>
            <w:r>
              <w:rPr>
                <w:rFonts w:hint="eastAsia"/>
              </w:rPr>
              <w:t>卸料产生的扬尘；</w:t>
            </w:r>
          </w:p>
          <w:p>
            <w:pPr>
              <w:ind w:firstLine="480"/>
            </w:pPr>
            <w:r>
              <w:rPr>
                <w:rFonts w:hint="eastAsia"/>
              </w:rPr>
              <w:t>剪切产生的扬尘；</w:t>
            </w:r>
          </w:p>
          <w:p>
            <w:pPr>
              <w:pStyle w:val="42"/>
              <w:ind w:firstLine="480"/>
              <w:rPr>
                <w:color w:val="auto"/>
              </w:rPr>
            </w:pPr>
            <w:r>
              <w:rPr>
                <w:rFonts w:hint="eastAsia"/>
                <w:color w:val="auto"/>
              </w:rPr>
              <w:t>转运产生的扬尘；</w:t>
            </w:r>
          </w:p>
          <w:p>
            <w:pPr>
              <w:ind w:firstLine="480"/>
            </w:pPr>
            <w:r>
              <w:rPr>
                <w:rFonts w:hint="eastAsia"/>
              </w:rPr>
              <w:t>食堂油烟。</w:t>
            </w:r>
          </w:p>
          <w:p>
            <w:pPr>
              <w:ind w:firstLine="480"/>
            </w:pPr>
            <w:r>
              <w:rPr>
                <w:rFonts w:hint="eastAsia"/>
              </w:rPr>
              <w:t>（2）废水</w:t>
            </w:r>
          </w:p>
          <w:p>
            <w:pPr>
              <w:ind w:firstLine="480"/>
            </w:pPr>
            <w:r>
              <w:rPr>
                <w:rFonts w:hint="eastAsia"/>
              </w:rPr>
              <w:t>生活废水；</w:t>
            </w:r>
          </w:p>
          <w:p>
            <w:pPr>
              <w:ind w:firstLine="480"/>
            </w:pPr>
            <w:r>
              <w:rPr>
                <w:rFonts w:hint="eastAsia"/>
              </w:rPr>
              <w:t>洗车废水。</w:t>
            </w:r>
          </w:p>
          <w:p>
            <w:pPr>
              <w:ind w:firstLine="480"/>
            </w:pPr>
            <w:r>
              <w:rPr>
                <w:rFonts w:hint="eastAsia"/>
              </w:rPr>
              <w:t>（3）噪声</w:t>
            </w:r>
          </w:p>
          <w:p>
            <w:pPr>
              <w:ind w:firstLine="480"/>
            </w:pPr>
            <w:r>
              <w:rPr>
                <w:rFonts w:hint="eastAsia"/>
              </w:rPr>
              <w:t>项目运营期噪声源主要来自剪切机、打包机、行吊和叉车</w:t>
            </w:r>
            <w:r>
              <w:t>等设备运行。</w:t>
            </w:r>
          </w:p>
          <w:p>
            <w:pPr>
              <w:ind w:firstLine="480"/>
            </w:pPr>
            <w:r>
              <w:rPr>
                <w:rFonts w:hint="eastAsia"/>
              </w:rPr>
              <w:t>（4）固废</w:t>
            </w:r>
          </w:p>
          <w:p>
            <w:pPr>
              <w:ind w:firstLine="480"/>
            </w:pPr>
            <w:r>
              <w:rPr>
                <w:rFonts w:hint="eastAsia"/>
              </w:rPr>
              <w:t>生活垃圾；</w:t>
            </w:r>
          </w:p>
          <w:p>
            <w:pPr>
              <w:ind w:firstLine="480"/>
            </w:pPr>
            <w:r>
              <w:rPr>
                <w:rFonts w:hint="eastAsia"/>
              </w:rPr>
              <w:t>废机油；</w:t>
            </w:r>
          </w:p>
          <w:p>
            <w:pPr>
              <w:ind w:firstLine="480"/>
              <w:rPr>
                <w:rFonts w:hint="eastAsia"/>
              </w:rPr>
            </w:pPr>
            <w:r>
              <w:rPr>
                <w:rFonts w:hint="eastAsia"/>
              </w:rPr>
              <w:t>废液压油；</w:t>
            </w:r>
          </w:p>
          <w:p>
            <w:pPr>
              <w:pStyle w:val="2"/>
              <w:rPr>
                <w:rFonts w:hint="default" w:eastAsia="宋体"/>
                <w:lang w:val="en-US" w:eastAsia="zh-CN"/>
              </w:rPr>
            </w:pPr>
            <w:r>
              <w:rPr>
                <w:rFonts w:hint="eastAsia"/>
                <w:lang w:val="en-US" w:eastAsia="zh-CN"/>
              </w:rPr>
              <w:t>粘有矿物质油的废布袋。</w:t>
            </w:r>
          </w:p>
          <w:p>
            <w:pPr>
              <w:ind w:firstLine="480"/>
            </w:pPr>
            <w:r>
              <w:rPr>
                <w:rFonts w:hint="eastAsia"/>
              </w:rPr>
              <w:t>废油桶；</w:t>
            </w:r>
          </w:p>
          <w:p>
            <w:pPr>
              <w:ind w:firstLine="480"/>
            </w:pPr>
            <w:r>
              <w:rPr>
                <w:rFonts w:hint="eastAsia"/>
              </w:rPr>
              <w:t>废手套、废棉纱。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76" w:hRule="atLeast"/>
          <w:jc w:val="center"/>
        </w:trPr>
        <w:tc>
          <w:tcPr>
            <w:tcW w:w="747" w:type="dxa"/>
            <w:vAlign w:val="center"/>
          </w:tcPr>
          <w:p>
            <w:pPr>
              <w:widowControl/>
              <w:adjustRightInd w:val="0"/>
              <w:snapToGrid w:val="0"/>
              <w:ind w:firstLine="0" w:firstLineChars="0"/>
              <w:jc w:val="center"/>
              <w:rPr>
                <w:rFonts w:cs="Times New Roman"/>
                <w:kern w:val="0"/>
                <w:szCs w:val="21"/>
              </w:rPr>
            </w:pPr>
            <w:r>
              <w:rPr>
                <w:rFonts w:cs="Times New Roman"/>
                <w:b/>
                <w:bCs/>
                <w:szCs w:val="21"/>
              </w:rPr>
              <w:t>与项目有关的原有环境污染问题</w:t>
            </w:r>
          </w:p>
        </w:tc>
        <w:tc>
          <w:tcPr>
            <w:tcW w:w="8237" w:type="dxa"/>
            <w:vAlign w:val="center"/>
          </w:tcPr>
          <w:p>
            <w:pPr>
              <w:ind w:firstLine="480"/>
            </w:pPr>
            <w:r>
              <w:rPr>
                <w:rFonts w:hint="eastAsia"/>
              </w:rPr>
              <w:t>本项目租用盛泰源一座8350m</w:t>
            </w:r>
            <w:r>
              <w:rPr>
                <w:rFonts w:hint="eastAsia"/>
                <w:vertAlign w:val="superscript"/>
              </w:rPr>
              <w:t>2</w:t>
            </w:r>
            <w:r>
              <w:rPr>
                <w:rFonts w:hint="eastAsia"/>
              </w:rPr>
              <w:t>综合生产车间，及依托东方恒略或盛泰源附属设施。经现场踏勘和调查，本项目租用的一座8350m</w:t>
            </w:r>
            <w:r>
              <w:rPr>
                <w:rFonts w:hint="eastAsia"/>
                <w:vertAlign w:val="superscript"/>
              </w:rPr>
              <w:t>2</w:t>
            </w:r>
            <w:r>
              <w:rPr>
                <w:rFonts w:hint="eastAsia"/>
              </w:rPr>
              <w:t>综合生产车间原为盛泰源的半成品库，现已闲置，内堆存少量的半成品已由盛泰源公司统一清理。无与本项目有关的原有环境污染问题。</w:t>
            </w:r>
          </w:p>
          <w:p>
            <w:pPr>
              <w:ind w:firstLine="480"/>
            </w:pPr>
          </w:p>
        </w:tc>
      </w:tr>
    </w:tbl>
    <w:p>
      <w:pPr>
        <w:ind w:firstLine="480"/>
        <w:sectPr>
          <w:pgSz w:w="11906" w:h="16838"/>
          <w:pgMar w:top="1701" w:right="1531" w:bottom="1701" w:left="1531" w:header="851" w:footer="851" w:gutter="0"/>
          <w:cols w:space="720" w:num="1"/>
          <w:docGrid w:linePitch="312" w:charSpace="0"/>
        </w:sectPr>
      </w:pPr>
    </w:p>
    <w:p>
      <w:pPr>
        <w:widowControl/>
        <w:adjustRightInd w:val="0"/>
        <w:snapToGrid w:val="0"/>
        <w:spacing w:line="14" w:lineRule="auto"/>
        <w:ind w:firstLine="600"/>
        <w:jc w:val="center"/>
        <w:rPr>
          <w:rFonts w:eastAsia="黑体" w:cs="Times New Roman"/>
          <w:snapToGrid w:val="0"/>
          <w:kern w:val="0"/>
          <w:sz w:val="30"/>
          <w:szCs w:val="30"/>
        </w:rPr>
      </w:pPr>
    </w:p>
    <w:p>
      <w:pPr>
        <w:pStyle w:val="3"/>
        <w:rPr>
          <w:color w:val="auto"/>
        </w:rPr>
      </w:pPr>
      <w:bookmarkStart w:id="6" w:name="_Toc71582781"/>
      <w:r>
        <w:rPr>
          <w:color w:val="auto"/>
        </w:rPr>
        <w:t>三、区域环境质量现状、环境保护目标及评价标准</w:t>
      </w:r>
      <w:bookmarkEnd w:id="6"/>
    </w:p>
    <w:tbl>
      <w:tblPr>
        <w:tblStyle w:val="34"/>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pPr>
              <w:adjustRightInd w:val="0"/>
              <w:snapToGrid w:val="0"/>
              <w:ind w:firstLine="0" w:firstLineChars="0"/>
              <w:jc w:val="center"/>
              <w:rPr>
                <w:rFonts w:cs="Times New Roman"/>
                <w:b/>
                <w:bCs/>
                <w:kern w:val="0"/>
                <w:szCs w:val="21"/>
              </w:rPr>
            </w:pPr>
            <w:r>
              <w:rPr>
                <w:rFonts w:cs="Times New Roman"/>
                <w:b/>
                <w:bCs/>
                <w:kern w:val="0"/>
                <w:szCs w:val="21"/>
              </w:rPr>
              <w:t>区域</w:t>
            </w:r>
          </w:p>
          <w:p>
            <w:pPr>
              <w:adjustRightInd w:val="0"/>
              <w:snapToGrid w:val="0"/>
              <w:ind w:firstLine="0" w:firstLineChars="0"/>
              <w:jc w:val="center"/>
              <w:rPr>
                <w:rFonts w:cs="Times New Roman"/>
                <w:b/>
                <w:bCs/>
                <w:kern w:val="0"/>
                <w:szCs w:val="21"/>
              </w:rPr>
            </w:pPr>
            <w:r>
              <w:rPr>
                <w:rFonts w:cs="Times New Roman"/>
                <w:b/>
                <w:bCs/>
                <w:kern w:val="0"/>
                <w:szCs w:val="21"/>
              </w:rPr>
              <w:t>环境</w:t>
            </w:r>
          </w:p>
          <w:p>
            <w:pPr>
              <w:adjustRightInd w:val="0"/>
              <w:snapToGrid w:val="0"/>
              <w:ind w:firstLine="0" w:firstLineChars="0"/>
              <w:jc w:val="center"/>
              <w:rPr>
                <w:rFonts w:cs="Times New Roman"/>
                <w:b/>
                <w:bCs/>
                <w:kern w:val="0"/>
                <w:szCs w:val="21"/>
              </w:rPr>
            </w:pPr>
            <w:r>
              <w:rPr>
                <w:rFonts w:cs="Times New Roman"/>
                <w:b/>
                <w:bCs/>
                <w:kern w:val="0"/>
                <w:szCs w:val="21"/>
              </w:rPr>
              <w:t>质量</w:t>
            </w:r>
          </w:p>
          <w:p>
            <w:pPr>
              <w:adjustRightInd w:val="0"/>
              <w:snapToGrid w:val="0"/>
              <w:ind w:firstLine="0" w:firstLineChars="0"/>
              <w:jc w:val="center"/>
              <w:rPr>
                <w:rFonts w:cs="Times New Roman"/>
                <w:kern w:val="0"/>
                <w:szCs w:val="21"/>
              </w:rPr>
            </w:pPr>
            <w:r>
              <w:rPr>
                <w:rFonts w:cs="Times New Roman"/>
                <w:b/>
                <w:bCs/>
                <w:kern w:val="0"/>
                <w:szCs w:val="21"/>
              </w:rPr>
              <w:t>现状</w:t>
            </w:r>
          </w:p>
        </w:tc>
        <w:tc>
          <w:tcPr>
            <w:tcW w:w="8190" w:type="dxa"/>
          </w:tcPr>
          <w:p>
            <w:pPr>
              <w:pStyle w:val="4"/>
            </w:pPr>
            <w:r>
              <w:rPr>
                <w:rFonts w:hint="eastAsia"/>
              </w:rPr>
              <w:t>3.1</w:t>
            </w:r>
            <w:r>
              <w:t>环境空气</w:t>
            </w:r>
            <w:r>
              <w:rPr>
                <w:rFonts w:hint="eastAsia"/>
              </w:rPr>
              <w:t>质量现状</w:t>
            </w:r>
          </w:p>
          <w:p>
            <w:pPr>
              <w:ind w:firstLine="480"/>
            </w:pPr>
            <w:r>
              <w:rPr>
                <w:rFonts w:hint="eastAsia"/>
              </w:rPr>
              <w:t>（1）区域达标判断</w:t>
            </w:r>
          </w:p>
          <w:p>
            <w:pPr>
              <w:ind w:firstLine="480"/>
            </w:pPr>
            <w:r>
              <w:rPr>
                <w:rFonts w:hint="eastAsia"/>
              </w:rPr>
              <w:t>本次评价引用2021年临汾市尧都区环境空气例行监测数据，统计结果见下表3-1。</w:t>
            </w:r>
          </w:p>
          <w:p>
            <w:pPr>
              <w:spacing w:line="240" w:lineRule="auto"/>
              <w:ind w:firstLine="0" w:firstLineChars="0"/>
              <w:jc w:val="center"/>
              <w:rPr>
                <w:b/>
                <w:bCs/>
                <w:sz w:val="21"/>
              </w:rPr>
            </w:pPr>
            <w:r>
              <w:rPr>
                <w:b/>
                <w:bCs/>
                <w:sz w:val="21"/>
              </w:rPr>
              <w:t>表3-1</w:t>
            </w:r>
            <w:r>
              <w:rPr>
                <w:rFonts w:hint="eastAsia"/>
                <w:b/>
                <w:bCs/>
                <w:sz w:val="21"/>
              </w:rPr>
              <w:t xml:space="preserve">  2021年临汾市尧都区环境空气自动监测浓度统计表</w:t>
            </w:r>
          </w:p>
          <w:tbl>
            <w:tblPr>
              <w:tblStyle w:val="35"/>
              <w:tblW w:w="797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615"/>
              <w:gridCol w:w="1384"/>
              <w:gridCol w:w="1329"/>
              <w:gridCol w:w="1330"/>
              <w:gridCol w:w="13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8" w:type="dxa"/>
                  <w:tcBorders>
                    <w:bottom w:val="single" w:color="auto" w:sz="12" w:space="0"/>
                  </w:tcBorders>
                  <w:vAlign w:val="center"/>
                </w:tcPr>
                <w:p>
                  <w:pPr>
                    <w:spacing w:line="240" w:lineRule="auto"/>
                    <w:ind w:firstLine="0" w:firstLineChars="0"/>
                    <w:jc w:val="center"/>
                    <w:rPr>
                      <w:sz w:val="21"/>
                    </w:rPr>
                  </w:pPr>
                  <w:r>
                    <w:rPr>
                      <w:b/>
                      <w:bCs/>
                      <w:sz w:val="21"/>
                    </w:rPr>
                    <w:t>污染物</w:t>
                  </w:r>
                </w:p>
              </w:tc>
              <w:tc>
                <w:tcPr>
                  <w:tcW w:w="1615" w:type="dxa"/>
                  <w:tcBorders>
                    <w:bottom w:val="single" w:color="auto" w:sz="12" w:space="0"/>
                  </w:tcBorders>
                  <w:vAlign w:val="center"/>
                </w:tcPr>
                <w:p>
                  <w:pPr>
                    <w:spacing w:line="240" w:lineRule="auto"/>
                    <w:ind w:firstLine="0" w:firstLineChars="0"/>
                    <w:jc w:val="center"/>
                    <w:rPr>
                      <w:sz w:val="21"/>
                    </w:rPr>
                  </w:pPr>
                  <w:r>
                    <w:rPr>
                      <w:b/>
                      <w:bCs/>
                      <w:sz w:val="21"/>
                    </w:rPr>
                    <w:t>年评价指标</w:t>
                  </w:r>
                </w:p>
              </w:tc>
              <w:tc>
                <w:tcPr>
                  <w:tcW w:w="1384" w:type="dxa"/>
                  <w:tcBorders>
                    <w:bottom w:val="single" w:color="auto" w:sz="12" w:space="0"/>
                  </w:tcBorders>
                  <w:vAlign w:val="center"/>
                </w:tcPr>
                <w:p>
                  <w:pPr>
                    <w:spacing w:line="240" w:lineRule="auto"/>
                    <w:ind w:firstLine="0" w:firstLineChars="0"/>
                    <w:jc w:val="center"/>
                    <w:rPr>
                      <w:sz w:val="21"/>
                    </w:rPr>
                  </w:pPr>
                  <w:r>
                    <w:rPr>
                      <w:b/>
                      <w:bCs/>
                      <w:sz w:val="21"/>
                    </w:rPr>
                    <w:t>现状浓度（μg/Nm</w:t>
                  </w:r>
                  <w:r>
                    <w:rPr>
                      <w:b/>
                      <w:bCs/>
                      <w:sz w:val="21"/>
                      <w:vertAlign w:val="superscript"/>
                    </w:rPr>
                    <w:t>3</w:t>
                  </w:r>
                  <w:r>
                    <w:rPr>
                      <w:b/>
                      <w:bCs/>
                      <w:sz w:val="21"/>
                    </w:rPr>
                    <w:t>）</w:t>
                  </w:r>
                </w:p>
              </w:tc>
              <w:tc>
                <w:tcPr>
                  <w:tcW w:w="1329" w:type="dxa"/>
                  <w:tcBorders>
                    <w:bottom w:val="single" w:color="auto" w:sz="12" w:space="0"/>
                  </w:tcBorders>
                  <w:vAlign w:val="center"/>
                </w:tcPr>
                <w:p>
                  <w:pPr>
                    <w:spacing w:line="240" w:lineRule="auto"/>
                    <w:ind w:firstLine="0" w:firstLineChars="0"/>
                    <w:jc w:val="center"/>
                    <w:rPr>
                      <w:sz w:val="21"/>
                    </w:rPr>
                  </w:pPr>
                  <w:r>
                    <w:rPr>
                      <w:b/>
                      <w:bCs/>
                      <w:sz w:val="21"/>
                    </w:rPr>
                    <w:t>标准值（μg/Nm</w:t>
                  </w:r>
                  <w:r>
                    <w:rPr>
                      <w:b/>
                      <w:bCs/>
                      <w:sz w:val="21"/>
                      <w:vertAlign w:val="superscript"/>
                    </w:rPr>
                    <w:t>3</w:t>
                  </w:r>
                  <w:r>
                    <w:rPr>
                      <w:b/>
                      <w:bCs/>
                      <w:sz w:val="21"/>
                    </w:rPr>
                    <w:t>）</w:t>
                  </w:r>
                </w:p>
              </w:tc>
              <w:tc>
                <w:tcPr>
                  <w:tcW w:w="1330" w:type="dxa"/>
                  <w:tcBorders>
                    <w:bottom w:val="single" w:color="auto" w:sz="12" w:space="0"/>
                  </w:tcBorders>
                  <w:vAlign w:val="center"/>
                </w:tcPr>
                <w:p>
                  <w:pPr>
                    <w:spacing w:line="240" w:lineRule="auto"/>
                    <w:ind w:firstLine="0" w:firstLineChars="0"/>
                    <w:jc w:val="center"/>
                    <w:rPr>
                      <w:sz w:val="21"/>
                    </w:rPr>
                  </w:pPr>
                  <w:r>
                    <w:rPr>
                      <w:b/>
                      <w:bCs/>
                      <w:sz w:val="21"/>
                    </w:rPr>
                    <w:t>占标率</w:t>
                  </w:r>
                  <w:r>
                    <w:rPr>
                      <w:rFonts w:hint="eastAsia"/>
                      <w:b/>
                      <w:bCs/>
                      <w:sz w:val="21"/>
                    </w:rPr>
                    <w:t>（</w:t>
                  </w:r>
                  <w:r>
                    <w:rPr>
                      <w:b/>
                      <w:bCs/>
                      <w:sz w:val="21"/>
                    </w:rPr>
                    <w:t>%</w:t>
                  </w:r>
                  <w:r>
                    <w:rPr>
                      <w:rFonts w:hint="eastAsia"/>
                      <w:b/>
                      <w:bCs/>
                      <w:sz w:val="21"/>
                    </w:rPr>
                    <w:t>）</w:t>
                  </w:r>
                </w:p>
              </w:tc>
              <w:tc>
                <w:tcPr>
                  <w:tcW w:w="1330" w:type="dxa"/>
                  <w:tcBorders>
                    <w:bottom w:val="single" w:color="auto" w:sz="12" w:space="0"/>
                  </w:tcBorders>
                  <w:vAlign w:val="center"/>
                </w:tcPr>
                <w:p>
                  <w:pPr>
                    <w:spacing w:line="240" w:lineRule="auto"/>
                    <w:ind w:firstLine="0" w:firstLineChars="0"/>
                    <w:jc w:val="center"/>
                    <w:rPr>
                      <w:sz w:val="21"/>
                    </w:rPr>
                  </w:pPr>
                  <w:r>
                    <w:rPr>
                      <w:b/>
                      <w:bCs/>
                      <w:sz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88" w:type="dxa"/>
                  <w:tcBorders>
                    <w:top w:val="single" w:color="auto" w:sz="12" w:space="0"/>
                    <w:tl2br w:val="nil"/>
                    <w:tr2bl w:val="nil"/>
                  </w:tcBorders>
                  <w:vAlign w:val="center"/>
                </w:tcPr>
                <w:p>
                  <w:pPr>
                    <w:spacing w:line="240" w:lineRule="auto"/>
                    <w:ind w:firstLine="0" w:firstLineChars="0"/>
                    <w:jc w:val="center"/>
                    <w:rPr>
                      <w:sz w:val="21"/>
                    </w:rPr>
                  </w:pPr>
                  <w:r>
                    <w:rPr>
                      <w:sz w:val="21"/>
                    </w:rPr>
                    <w:t>SO</w:t>
                  </w:r>
                  <w:r>
                    <w:rPr>
                      <w:sz w:val="21"/>
                      <w:vertAlign w:val="subscript"/>
                    </w:rPr>
                    <w:t>2</w:t>
                  </w:r>
                </w:p>
              </w:tc>
              <w:tc>
                <w:tcPr>
                  <w:tcW w:w="1615" w:type="dxa"/>
                  <w:vMerge w:val="restart"/>
                  <w:tcBorders>
                    <w:top w:val="single" w:color="auto" w:sz="12" w:space="0"/>
                    <w:tl2br w:val="nil"/>
                    <w:tr2bl w:val="nil"/>
                  </w:tcBorders>
                  <w:vAlign w:val="center"/>
                </w:tcPr>
                <w:p>
                  <w:pPr>
                    <w:spacing w:line="240" w:lineRule="auto"/>
                    <w:ind w:firstLine="0" w:firstLineChars="0"/>
                    <w:jc w:val="center"/>
                    <w:rPr>
                      <w:sz w:val="21"/>
                    </w:rPr>
                  </w:pPr>
                  <w:r>
                    <w:rPr>
                      <w:sz w:val="21"/>
                    </w:rPr>
                    <w:t>年平均质量</w:t>
                  </w:r>
                </w:p>
                <w:p>
                  <w:pPr>
                    <w:spacing w:line="240" w:lineRule="auto"/>
                    <w:ind w:firstLine="0" w:firstLineChars="0"/>
                    <w:jc w:val="center"/>
                    <w:rPr>
                      <w:sz w:val="21"/>
                    </w:rPr>
                  </w:pPr>
                  <w:r>
                    <w:rPr>
                      <w:sz w:val="21"/>
                    </w:rPr>
                    <w:t>浓度</w:t>
                  </w:r>
                </w:p>
              </w:tc>
              <w:tc>
                <w:tcPr>
                  <w:tcW w:w="1384" w:type="dxa"/>
                  <w:tcBorders>
                    <w:top w:val="single" w:color="auto" w:sz="12" w:space="0"/>
                    <w:tl2br w:val="nil"/>
                    <w:tr2bl w:val="nil"/>
                  </w:tcBorders>
                  <w:vAlign w:val="center"/>
                </w:tcPr>
                <w:p>
                  <w:pPr>
                    <w:adjustRightInd w:val="0"/>
                    <w:snapToGrid w:val="0"/>
                    <w:spacing w:line="240" w:lineRule="auto"/>
                    <w:ind w:firstLine="0" w:firstLineChars="0"/>
                    <w:jc w:val="center"/>
                    <w:rPr>
                      <w:kern w:val="0"/>
                      <w:sz w:val="21"/>
                      <w:szCs w:val="21"/>
                    </w:rPr>
                  </w:pPr>
                  <w:r>
                    <w:rPr>
                      <w:kern w:val="0"/>
                      <w:sz w:val="21"/>
                      <w:szCs w:val="21"/>
                    </w:rPr>
                    <w:t>12</w:t>
                  </w:r>
                </w:p>
              </w:tc>
              <w:tc>
                <w:tcPr>
                  <w:tcW w:w="1329" w:type="dxa"/>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60</w:t>
                  </w:r>
                </w:p>
              </w:tc>
              <w:tc>
                <w:tcPr>
                  <w:tcW w:w="1330" w:type="dxa"/>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20</w:t>
                  </w:r>
                </w:p>
              </w:tc>
              <w:tc>
                <w:tcPr>
                  <w:tcW w:w="1330" w:type="dxa"/>
                  <w:tcBorders>
                    <w:top w:val="single" w:color="auto" w:sz="12" w:space="0"/>
                    <w:tl2br w:val="nil"/>
                    <w:tr2bl w:val="nil"/>
                  </w:tcBorders>
                  <w:vAlign w:val="center"/>
                </w:tcPr>
                <w:p>
                  <w:pPr>
                    <w:spacing w:line="240" w:lineRule="auto"/>
                    <w:ind w:firstLine="0" w:firstLineChars="0"/>
                    <w:jc w:val="center"/>
                    <w:rPr>
                      <w:sz w:val="21"/>
                    </w:rPr>
                  </w:pPr>
                  <w:r>
                    <w:rPr>
                      <w:rFonts w:hint="eastAsia"/>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8" w:type="dxa"/>
                  <w:tcBorders>
                    <w:tl2br w:val="nil"/>
                    <w:tr2bl w:val="nil"/>
                  </w:tcBorders>
                  <w:vAlign w:val="center"/>
                </w:tcPr>
                <w:p>
                  <w:pPr>
                    <w:spacing w:line="240" w:lineRule="auto"/>
                    <w:ind w:firstLine="0" w:firstLineChars="0"/>
                    <w:jc w:val="center"/>
                    <w:rPr>
                      <w:sz w:val="21"/>
                    </w:rPr>
                  </w:pPr>
                  <w:r>
                    <w:rPr>
                      <w:sz w:val="21"/>
                    </w:rPr>
                    <w:t>NO</w:t>
                  </w:r>
                  <w:r>
                    <w:rPr>
                      <w:sz w:val="21"/>
                      <w:vertAlign w:val="subscript"/>
                    </w:rPr>
                    <w:t>2</w:t>
                  </w:r>
                </w:p>
              </w:tc>
              <w:tc>
                <w:tcPr>
                  <w:tcW w:w="1615" w:type="dxa"/>
                  <w:vMerge w:val="continue"/>
                  <w:tcBorders>
                    <w:tl2br w:val="nil"/>
                    <w:tr2bl w:val="nil"/>
                  </w:tcBorders>
                  <w:vAlign w:val="center"/>
                </w:tcPr>
                <w:p>
                  <w:pPr>
                    <w:spacing w:line="240" w:lineRule="auto"/>
                    <w:ind w:firstLine="0" w:firstLineChars="0"/>
                    <w:jc w:val="center"/>
                    <w:rPr>
                      <w:sz w:val="21"/>
                    </w:rPr>
                  </w:pPr>
                </w:p>
              </w:tc>
              <w:tc>
                <w:tcPr>
                  <w:tcW w:w="1384" w:type="dxa"/>
                  <w:tcBorders>
                    <w:tl2br w:val="nil"/>
                    <w:tr2bl w:val="nil"/>
                  </w:tcBorders>
                  <w:vAlign w:val="center"/>
                </w:tcPr>
                <w:p>
                  <w:pPr>
                    <w:adjustRightInd w:val="0"/>
                    <w:snapToGrid w:val="0"/>
                    <w:spacing w:line="240" w:lineRule="auto"/>
                    <w:ind w:firstLine="0" w:firstLineChars="0"/>
                    <w:jc w:val="center"/>
                    <w:rPr>
                      <w:kern w:val="0"/>
                      <w:sz w:val="21"/>
                      <w:szCs w:val="21"/>
                    </w:rPr>
                  </w:pPr>
                  <w:r>
                    <w:rPr>
                      <w:kern w:val="0"/>
                      <w:sz w:val="21"/>
                      <w:szCs w:val="21"/>
                    </w:rPr>
                    <w:t>34</w:t>
                  </w:r>
                </w:p>
              </w:tc>
              <w:tc>
                <w:tcPr>
                  <w:tcW w:w="1329" w:type="dxa"/>
                  <w:tcBorders>
                    <w:tl2br w:val="nil"/>
                    <w:tr2bl w:val="nil"/>
                  </w:tcBorders>
                  <w:vAlign w:val="center"/>
                </w:tcPr>
                <w:p>
                  <w:pPr>
                    <w:spacing w:line="240" w:lineRule="auto"/>
                    <w:ind w:firstLine="0" w:firstLineChars="0"/>
                    <w:jc w:val="center"/>
                    <w:rPr>
                      <w:sz w:val="21"/>
                    </w:rPr>
                  </w:pPr>
                  <w:r>
                    <w:rPr>
                      <w:rFonts w:hint="eastAsia"/>
                      <w:sz w:val="21"/>
                    </w:rPr>
                    <w:t>40</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85</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8" w:type="dxa"/>
                  <w:tcBorders>
                    <w:tl2br w:val="nil"/>
                    <w:tr2bl w:val="nil"/>
                  </w:tcBorders>
                  <w:vAlign w:val="center"/>
                </w:tcPr>
                <w:p>
                  <w:pPr>
                    <w:spacing w:line="240" w:lineRule="auto"/>
                    <w:ind w:firstLine="0" w:firstLineChars="0"/>
                    <w:jc w:val="center"/>
                    <w:rPr>
                      <w:sz w:val="21"/>
                    </w:rPr>
                  </w:pPr>
                  <w:r>
                    <w:rPr>
                      <w:sz w:val="21"/>
                    </w:rPr>
                    <w:t>PM</w:t>
                  </w:r>
                  <w:r>
                    <w:rPr>
                      <w:sz w:val="21"/>
                      <w:vertAlign w:val="subscript"/>
                    </w:rPr>
                    <w:t>10</w:t>
                  </w:r>
                </w:p>
              </w:tc>
              <w:tc>
                <w:tcPr>
                  <w:tcW w:w="1615" w:type="dxa"/>
                  <w:vMerge w:val="continue"/>
                  <w:tcBorders>
                    <w:tl2br w:val="nil"/>
                    <w:tr2bl w:val="nil"/>
                  </w:tcBorders>
                  <w:vAlign w:val="center"/>
                </w:tcPr>
                <w:p>
                  <w:pPr>
                    <w:spacing w:line="240" w:lineRule="auto"/>
                    <w:ind w:firstLine="0" w:firstLineChars="0"/>
                    <w:jc w:val="center"/>
                    <w:rPr>
                      <w:sz w:val="21"/>
                    </w:rPr>
                  </w:pPr>
                </w:p>
              </w:tc>
              <w:tc>
                <w:tcPr>
                  <w:tcW w:w="1384" w:type="dxa"/>
                  <w:tcBorders>
                    <w:tl2br w:val="nil"/>
                    <w:tr2bl w:val="nil"/>
                  </w:tcBorders>
                  <w:vAlign w:val="center"/>
                </w:tcPr>
                <w:p>
                  <w:pPr>
                    <w:adjustRightInd w:val="0"/>
                    <w:snapToGrid w:val="0"/>
                    <w:spacing w:line="240" w:lineRule="auto"/>
                    <w:ind w:firstLine="0" w:firstLineChars="0"/>
                    <w:jc w:val="center"/>
                    <w:rPr>
                      <w:kern w:val="0"/>
                      <w:sz w:val="21"/>
                      <w:szCs w:val="21"/>
                    </w:rPr>
                  </w:pPr>
                  <w:r>
                    <w:rPr>
                      <w:kern w:val="0"/>
                      <w:sz w:val="21"/>
                      <w:szCs w:val="21"/>
                    </w:rPr>
                    <w:t>72</w:t>
                  </w:r>
                </w:p>
              </w:tc>
              <w:tc>
                <w:tcPr>
                  <w:tcW w:w="1329" w:type="dxa"/>
                  <w:tcBorders>
                    <w:tl2br w:val="nil"/>
                    <w:tr2bl w:val="nil"/>
                  </w:tcBorders>
                  <w:vAlign w:val="center"/>
                </w:tcPr>
                <w:p>
                  <w:pPr>
                    <w:spacing w:line="240" w:lineRule="auto"/>
                    <w:ind w:firstLine="0" w:firstLineChars="0"/>
                    <w:jc w:val="center"/>
                    <w:rPr>
                      <w:sz w:val="21"/>
                    </w:rPr>
                  </w:pPr>
                  <w:r>
                    <w:rPr>
                      <w:rFonts w:hint="eastAsia"/>
                      <w:sz w:val="21"/>
                    </w:rPr>
                    <w:t>70</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102</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8" w:type="dxa"/>
                  <w:tcBorders>
                    <w:tl2br w:val="nil"/>
                    <w:tr2bl w:val="nil"/>
                  </w:tcBorders>
                  <w:vAlign w:val="center"/>
                </w:tcPr>
                <w:p>
                  <w:pPr>
                    <w:spacing w:line="240" w:lineRule="auto"/>
                    <w:ind w:firstLine="0" w:firstLineChars="0"/>
                    <w:jc w:val="center"/>
                    <w:rPr>
                      <w:sz w:val="21"/>
                    </w:rPr>
                  </w:pPr>
                  <w:r>
                    <w:rPr>
                      <w:sz w:val="21"/>
                    </w:rPr>
                    <w:t>PM</w:t>
                  </w:r>
                  <w:r>
                    <w:rPr>
                      <w:sz w:val="21"/>
                      <w:vertAlign w:val="subscript"/>
                    </w:rPr>
                    <w:t>2.5</w:t>
                  </w:r>
                </w:p>
              </w:tc>
              <w:tc>
                <w:tcPr>
                  <w:tcW w:w="1615" w:type="dxa"/>
                  <w:vMerge w:val="continue"/>
                  <w:tcBorders>
                    <w:tl2br w:val="nil"/>
                    <w:tr2bl w:val="nil"/>
                  </w:tcBorders>
                  <w:vAlign w:val="center"/>
                </w:tcPr>
                <w:p>
                  <w:pPr>
                    <w:spacing w:line="240" w:lineRule="auto"/>
                    <w:ind w:firstLine="0" w:firstLineChars="0"/>
                    <w:jc w:val="center"/>
                    <w:rPr>
                      <w:sz w:val="21"/>
                    </w:rPr>
                  </w:pPr>
                </w:p>
              </w:tc>
              <w:tc>
                <w:tcPr>
                  <w:tcW w:w="1384" w:type="dxa"/>
                  <w:tcBorders>
                    <w:tl2br w:val="nil"/>
                    <w:tr2bl w:val="nil"/>
                  </w:tcBorders>
                  <w:vAlign w:val="center"/>
                </w:tcPr>
                <w:p>
                  <w:pPr>
                    <w:adjustRightInd w:val="0"/>
                    <w:snapToGrid w:val="0"/>
                    <w:spacing w:line="240" w:lineRule="auto"/>
                    <w:ind w:firstLine="0" w:firstLineChars="0"/>
                    <w:jc w:val="center"/>
                    <w:rPr>
                      <w:kern w:val="0"/>
                      <w:sz w:val="21"/>
                      <w:szCs w:val="21"/>
                    </w:rPr>
                  </w:pPr>
                  <w:r>
                    <w:rPr>
                      <w:kern w:val="0"/>
                      <w:sz w:val="21"/>
                      <w:szCs w:val="21"/>
                    </w:rPr>
                    <w:t>53</w:t>
                  </w:r>
                </w:p>
              </w:tc>
              <w:tc>
                <w:tcPr>
                  <w:tcW w:w="1329" w:type="dxa"/>
                  <w:tcBorders>
                    <w:tl2br w:val="nil"/>
                    <w:tr2bl w:val="nil"/>
                  </w:tcBorders>
                  <w:vAlign w:val="center"/>
                </w:tcPr>
                <w:p>
                  <w:pPr>
                    <w:spacing w:line="240" w:lineRule="auto"/>
                    <w:ind w:firstLine="0" w:firstLineChars="0"/>
                    <w:jc w:val="center"/>
                    <w:rPr>
                      <w:sz w:val="21"/>
                    </w:rPr>
                  </w:pPr>
                  <w:r>
                    <w:rPr>
                      <w:rFonts w:hint="eastAsia"/>
                      <w:sz w:val="21"/>
                    </w:rPr>
                    <w:t>35</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151</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8" w:type="dxa"/>
                  <w:tcBorders>
                    <w:tl2br w:val="nil"/>
                    <w:tr2bl w:val="nil"/>
                  </w:tcBorders>
                  <w:vAlign w:val="center"/>
                </w:tcPr>
                <w:p>
                  <w:pPr>
                    <w:spacing w:line="240" w:lineRule="auto"/>
                    <w:ind w:firstLine="0" w:firstLineChars="0"/>
                    <w:jc w:val="center"/>
                    <w:rPr>
                      <w:sz w:val="21"/>
                    </w:rPr>
                  </w:pPr>
                  <w:r>
                    <w:rPr>
                      <w:sz w:val="21"/>
                    </w:rPr>
                    <w:t>CO</w:t>
                  </w:r>
                </w:p>
              </w:tc>
              <w:tc>
                <w:tcPr>
                  <w:tcW w:w="1615" w:type="dxa"/>
                  <w:tcBorders>
                    <w:tl2br w:val="nil"/>
                    <w:tr2bl w:val="nil"/>
                  </w:tcBorders>
                  <w:vAlign w:val="center"/>
                </w:tcPr>
                <w:p>
                  <w:pPr>
                    <w:widowControl/>
                    <w:spacing w:line="240" w:lineRule="auto"/>
                    <w:ind w:firstLine="0" w:firstLineChars="0"/>
                    <w:jc w:val="center"/>
                    <w:rPr>
                      <w:sz w:val="21"/>
                    </w:rPr>
                  </w:pPr>
                  <w:r>
                    <w:rPr>
                      <w:rFonts w:hint="eastAsia"/>
                      <w:sz w:val="21"/>
                    </w:rPr>
                    <w:t>24小时</w:t>
                  </w:r>
                </w:p>
              </w:tc>
              <w:tc>
                <w:tcPr>
                  <w:tcW w:w="1384" w:type="dxa"/>
                  <w:tcBorders>
                    <w:tl2br w:val="nil"/>
                    <w:tr2bl w:val="nil"/>
                  </w:tcBorders>
                  <w:vAlign w:val="center"/>
                </w:tcPr>
                <w:p>
                  <w:pPr>
                    <w:adjustRightInd w:val="0"/>
                    <w:snapToGrid w:val="0"/>
                    <w:spacing w:line="240" w:lineRule="auto"/>
                    <w:ind w:firstLine="0" w:firstLineChars="0"/>
                    <w:jc w:val="center"/>
                    <w:rPr>
                      <w:kern w:val="0"/>
                      <w:sz w:val="21"/>
                      <w:szCs w:val="21"/>
                    </w:rPr>
                  </w:pPr>
                  <w:r>
                    <w:rPr>
                      <w:kern w:val="0"/>
                      <w:sz w:val="21"/>
                      <w:szCs w:val="21"/>
                    </w:rPr>
                    <w:t>2.0mg/m</w:t>
                  </w:r>
                  <w:r>
                    <w:rPr>
                      <w:kern w:val="0"/>
                      <w:sz w:val="21"/>
                      <w:szCs w:val="21"/>
                      <w:vertAlign w:val="superscript"/>
                    </w:rPr>
                    <w:t>3</w:t>
                  </w:r>
                </w:p>
              </w:tc>
              <w:tc>
                <w:tcPr>
                  <w:tcW w:w="1329" w:type="dxa"/>
                  <w:tcBorders>
                    <w:tl2br w:val="nil"/>
                    <w:tr2bl w:val="nil"/>
                  </w:tcBorders>
                  <w:vAlign w:val="center"/>
                </w:tcPr>
                <w:p>
                  <w:pPr>
                    <w:spacing w:line="240" w:lineRule="auto"/>
                    <w:ind w:firstLine="0" w:firstLineChars="0"/>
                    <w:jc w:val="center"/>
                    <w:rPr>
                      <w:sz w:val="21"/>
                    </w:rPr>
                  </w:pPr>
                  <w:r>
                    <w:rPr>
                      <w:sz w:val="21"/>
                    </w:rPr>
                    <w:t>4mg/Nm</w:t>
                  </w:r>
                  <w:r>
                    <w:rPr>
                      <w:sz w:val="21"/>
                      <w:vertAlign w:val="superscript"/>
                    </w:rPr>
                    <w:t>3</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50</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8" w:type="dxa"/>
                  <w:tcBorders>
                    <w:tl2br w:val="nil"/>
                    <w:tr2bl w:val="nil"/>
                  </w:tcBorders>
                  <w:vAlign w:val="center"/>
                </w:tcPr>
                <w:p>
                  <w:pPr>
                    <w:spacing w:line="240" w:lineRule="auto"/>
                    <w:ind w:firstLine="0" w:firstLineChars="0"/>
                    <w:jc w:val="center"/>
                    <w:rPr>
                      <w:sz w:val="21"/>
                    </w:rPr>
                  </w:pPr>
                  <w:r>
                    <w:rPr>
                      <w:sz w:val="21"/>
                    </w:rPr>
                    <w:t>O</w:t>
                  </w:r>
                  <w:r>
                    <w:rPr>
                      <w:sz w:val="21"/>
                      <w:vertAlign w:val="subscript"/>
                    </w:rPr>
                    <w:t>3</w:t>
                  </w:r>
                </w:p>
              </w:tc>
              <w:tc>
                <w:tcPr>
                  <w:tcW w:w="1615" w:type="dxa"/>
                  <w:tcBorders>
                    <w:tl2br w:val="nil"/>
                    <w:tr2bl w:val="nil"/>
                  </w:tcBorders>
                  <w:vAlign w:val="center"/>
                </w:tcPr>
                <w:p>
                  <w:pPr>
                    <w:widowControl/>
                    <w:spacing w:line="240" w:lineRule="auto"/>
                    <w:ind w:firstLine="0" w:firstLineChars="0"/>
                    <w:jc w:val="center"/>
                    <w:rPr>
                      <w:sz w:val="21"/>
                    </w:rPr>
                  </w:pPr>
                  <w:r>
                    <w:rPr>
                      <w:rFonts w:hint="eastAsia"/>
                      <w:sz w:val="21"/>
                    </w:rPr>
                    <w:t>日最大8小时平均</w:t>
                  </w:r>
                </w:p>
              </w:tc>
              <w:tc>
                <w:tcPr>
                  <w:tcW w:w="1384" w:type="dxa"/>
                  <w:tcBorders>
                    <w:tl2br w:val="nil"/>
                    <w:tr2bl w:val="nil"/>
                  </w:tcBorders>
                  <w:vAlign w:val="center"/>
                </w:tcPr>
                <w:p>
                  <w:pPr>
                    <w:adjustRightInd w:val="0"/>
                    <w:snapToGrid w:val="0"/>
                    <w:spacing w:line="240" w:lineRule="auto"/>
                    <w:ind w:firstLine="0" w:firstLineChars="0"/>
                    <w:jc w:val="center"/>
                    <w:rPr>
                      <w:kern w:val="0"/>
                      <w:sz w:val="21"/>
                      <w:szCs w:val="21"/>
                    </w:rPr>
                  </w:pPr>
                  <w:r>
                    <w:rPr>
                      <w:kern w:val="0"/>
                      <w:sz w:val="21"/>
                      <w:szCs w:val="21"/>
                    </w:rPr>
                    <w:t>197</w:t>
                  </w:r>
                </w:p>
              </w:tc>
              <w:tc>
                <w:tcPr>
                  <w:tcW w:w="1329" w:type="dxa"/>
                  <w:tcBorders>
                    <w:tl2br w:val="nil"/>
                    <w:tr2bl w:val="nil"/>
                  </w:tcBorders>
                  <w:vAlign w:val="center"/>
                </w:tcPr>
                <w:p>
                  <w:pPr>
                    <w:spacing w:line="240" w:lineRule="auto"/>
                    <w:ind w:firstLine="0" w:firstLineChars="0"/>
                    <w:jc w:val="center"/>
                    <w:rPr>
                      <w:sz w:val="21"/>
                    </w:rPr>
                  </w:pPr>
                  <w:r>
                    <w:rPr>
                      <w:rFonts w:hint="eastAsia"/>
                      <w:sz w:val="21"/>
                    </w:rPr>
                    <w:t>160</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123</w:t>
                  </w:r>
                </w:p>
              </w:tc>
              <w:tc>
                <w:tcPr>
                  <w:tcW w:w="1330" w:type="dxa"/>
                  <w:tcBorders>
                    <w:tl2br w:val="nil"/>
                    <w:tr2bl w:val="nil"/>
                  </w:tcBorders>
                  <w:vAlign w:val="center"/>
                </w:tcPr>
                <w:p>
                  <w:pPr>
                    <w:spacing w:line="240" w:lineRule="auto"/>
                    <w:ind w:firstLine="0" w:firstLineChars="0"/>
                    <w:jc w:val="center"/>
                    <w:rPr>
                      <w:sz w:val="21"/>
                    </w:rPr>
                  </w:pPr>
                  <w:r>
                    <w:rPr>
                      <w:rFonts w:hint="eastAsia"/>
                      <w:sz w:val="21"/>
                    </w:rPr>
                    <w:t>超标</w:t>
                  </w:r>
                </w:p>
              </w:tc>
            </w:tr>
          </w:tbl>
          <w:p>
            <w:pPr>
              <w:ind w:firstLine="480"/>
            </w:pPr>
            <w:r>
              <w:rPr>
                <w:rFonts w:hint="eastAsia"/>
              </w:rPr>
              <w:t>由表3-1知，2021年临汾市尧都区环境空气质量监测结果统计：SO</w:t>
            </w:r>
            <w:r>
              <w:rPr>
                <w:rFonts w:hint="eastAsia"/>
                <w:vertAlign w:val="subscript"/>
              </w:rPr>
              <w:t>2</w:t>
            </w:r>
            <w:r>
              <w:rPr>
                <w:rFonts w:hint="eastAsia"/>
              </w:rPr>
              <w:t>、NO</w:t>
            </w:r>
            <w:r>
              <w:rPr>
                <w:rFonts w:hint="eastAsia"/>
                <w:vertAlign w:val="subscript"/>
              </w:rPr>
              <w:t>2</w:t>
            </w:r>
            <w:r>
              <w:rPr>
                <w:rFonts w:hint="eastAsia"/>
              </w:rPr>
              <w:t>、CO（24小时平均）均能满足《环境空气质量标准》（GB3095-2012及2018年修改单）二级标准相关限值要求；PM</w:t>
            </w:r>
            <w:r>
              <w:rPr>
                <w:rFonts w:hint="eastAsia"/>
                <w:vertAlign w:val="subscript"/>
              </w:rPr>
              <w:t>2.5</w:t>
            </w:r>
            <w:r>
              <w:rPr>
                <w:rFonts w:hint="eastAsia"/>
              </w:rPr>
              <w:t>、PM</w:t>
            </w:r>
            <w:r>
              <w:rPr>
                <w:rFonts w:hint="eastAsia"/>
                <w:vertAlign w:val="subscript"/>
              </w:rPr>
              <w:t>10</w:t>
            </w:r>
            <w:r>
              <w:rPr>
                <w:rFonts w:hint="eastAsia"/>
              </w:rPr>
              <w:t>、O</w:t>
            </w:r>
            <w:r>
              <w:rPr>
                <w:rFonts w:hint="eastAsia"/>
                <w:vertAlign w:val="subscript"/>
              </w:rPr>
              <w:t>3</w:t>
            </w:r>
            <w:r>
              <w:rPr>
                <w:rFonts w:hint="eastAsia"/>
              </w:rPr>
              <w:t>（日最大8小时平均）不满足《环境空气质量标准》（GB3095-2012及2018年修改单）二级标准相关限值要求。根据《环境影响评价技术导则大气环境》（HJ/2.2-2018），尧都区属于环境空气质量不达标区。</w:t>
            </w:r>
          </w:p>
          <w:p>
            <w:pPr>
              <w:ind w:left="480" w:leftChars="200" w:firstLine="0" w:firstLineChars="0"/>
            </w:pPr>
            <w:r>
              <w:rPr>
                <w:rFonts w:hint="eastAsia"/>
              </w:rPr>
              <w:t>（2）其他污染物环境质量现状评价</w:t>
            </w:r>
          </w:p>
          <w:p>
            <w:pPr>
              <w:ind w:firstLine="480"/>
            </w:pPr>
            <w:r>
              <w:rPr>
                <w:rFonts w:hint="eastAsia"/>
              </w:rPr>
              <w:t>本项目特征污染物为颗粒物。本次评价引用2020年《山西纳海鸣建材有限公司年产8万吨岩棉板生产线升级改造项目环境质量现状委托监测报告》中纳海鸣厂区和王雅村的TSP监测数据。纳海鸣厂区位于本项目南400米处、王雅村位于本项目东侧1100km处。本次评价引用的监测数据符合《建设项目环境影响报告表编制技术指南（污染影响类）》中“排放国家、地方环境空气质量标准中有标准限值要求的特征污染物时，引用建设项目周边5千米范围内近3年的现有监测数据”的要求。</w:t>
            </w:r>
          </w:p>
          <w:p>
            <w:pPr>
              <w:ind w:firstLine="480"/>
            </w:pPr>
            <w:r>
              <w:rPr>
                <w:rFonts w:hint="eastAsia"/>
              </w:rPr>
              <w:t>根据监测报告，山西省地质矿产局二一三实验室于2020年10月1日至2020年10月7日对纳海鸣厂区和王雅村进行了TSP环境质量现状监测，监测时间为7天，监测结果见表3-2，监测布点见图3-1。</w:t>
            </w:r>
          </w:p>
          <w:p>
            <w:pPr>
              <w:spacing w:line="240" w:lineRule="auto"/>
              <w:ind w:firstLine="0" w:firstLineChars="0"/>
              <w:jc w:val="center"/>
              <w:rPr>
                <w:b/>
                <w:bCs/>
                <w:sz w:val="21"/>
              </w:rPr>
            </w:pPr>
            <w:r>
              <w:rPr>
                <w:rFonts w:hint="eastAsia"/>
                <w:b/>
                <w:bCs/>
                <w:sz w:val="21"/>
              </w:rPr>
              <w:t>表3-2  TSP检测数据统计表</w:t>
            </w:r>
          </w:p>
          <w:tbl>
            <w:tblPr>
              <w:tblStyle w:val="3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5"/>
              <w:gridCol w:w="1067"/>
              <w:gridCol w:w="1010"/>
              <w:gridCol w:w="617"/>
              <w:gridCol w:w="553"/>
              <w:gridCol w:w="876"/>
              <w:gridCol w:w="1083"/>
              <w:gridCol w:w="879"/>
              <w:gridCol w:w="567"/>
              <w:gridCol w:w="5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786" w:type="dxa"/>
                  <w:vMerge w:val="restart"/>
                  <w:tcBorders>
                    <w:top w:val="single" w:color="auto" w:sz="12" w:space="0"/>
                    <w:left w:val="nil"/>
                    <w:bottom w:val="single" w:color="auto" w:sz="4"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监测</w:t>
                  </w:r>
                </w:p>
                <w:p>
                  <w:pPr>
                    <w:autoSpaceDE w:val="0"/>
                    <w:spacing w:line="240" w:lineRule="auto"/>
                    <w:ind w:firstLine="0" w:firstLineChars="0"/>
                    <w:jc w:val="center"/>
                    <w:rPr>
                      <w:b/>
                      <w:bCs/>
                      <w:sz w:val="18"/>
                    </w:rPr>
                  </w:pPr>
                  <w:r>
                    <w:rPr>
                      <w:rFonts w:hint="eastAsia"/>
                      <w:b/>
                      <w:bCs/>
                      <w:sz w:val="18"/>
                    </w:rPr>
                    <w:t>点位</w:t>
                  </w:r>
                </w:p>
              </w:tc>
              <w:tc>
                <w:tcPr>
                  <w:tcW w:w="2077" w:type="dxa"/>
                  <w:gridSpan w:val="2"/>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监测点位坐标/°</w:t>
                  </w:r>
                </w:p>
              </w:tc>
              <w:tc>
                <w:tcPr>
                  <w:tcW w:w="617" w:type="dxa"/>
                  <w:vMerge w:val="restart"/>
                  <w:tcBorders>
                    <w:top w:val="single" w:color="auto" w:sz="12"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污染物</w:t>
                  </w:r>
                </w:p>
              </w:tc>
              <w:tc>
                <w:tcPr>
                  <w:tcW w:w="553" w:type="dxa"/>
                  <w:vMerge w:val="restart"/>
                  <w:tcBorders>
                    <w:top w:val="single" w:color="auto" w:sz="12"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平均时间</w:t>
                  </w:r>
                </w:p>
              </w:tc>
              <w:tc>
                <w:tcPr>
                  <w:tcW w:w="876" w:type="dxa"/>
                  <w:vMerge w:val="restart"/>
                  <w:tcBorders>
                    <w:top w:val="single" w:color="auto" w:sz="12"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评价标准/(</w:t>
                  </w:r>
                  <w:r>
                    <w:rPr>
                      <w:b/>
                      <w:bCs/>
                      <w:sz w:val="18"/>
                    </w:rPr>
                    <w:t>μ</w:t>
                  </w:r>
                  <w:r>
                    <w:rPr>
                      <w:rFonts w:hint="eastAsia"/>
                      <w:b/>
                      <w:bCs/>
                      <w:sz w:val="18"/>
                    </w:rPr>
                    <w:t>g/m</w:t>
                  </w:r>
                  <w:r>
                    <w:rPr>
                      <w:rFonts w:hint="eastAsia"/>
                      <w:b/>
                      <w:bCs/>
                      <w:sz w:val="18"/>
                      <w:vertAlign w:val="superscript"/>
                    </w:rPr>
                    <w:t>3</w:t>
                  </w:r>
                  <w:r>
                    <w:rPr>
                      <w:rFonts w:hint="eastAsia"/>
                      <w:b/>
                      <w:bCs/>
                      <w:sz w:val="18"/>
                    </w:rPr>
                    <w:t>)</w:t>
                  </w:r>
                </w:p>
              </w:tc>
              <w:tc>
                <w:tcPr>
                  <w:tcW w:w="1083" w:type="dxa"/>
                  <w:vMerge w:val="restart"/>
                  <w:tcBorders>
                    <w:top w:val="single" w:color="auto" w:sz="12"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监测浓度范围/(</w:t>
                  </w:r>
                  <w:r>
                    <w:rPr>
                      <w:b/>
                      <w:bCs/>
                      <w:sz w:val="18"/>
                    </w:rPr>
                    <w:t>μ</w:t>
                  </w:r>
                  <w:r>
                    <w:rPr>
                      <w:rFonts w:hint="eastAsia"/>
                      <w:b/>
                      <w:bCs/>
                      <w:sz w:val="18"/>
                    </w:rPr>
                    <w:t>g/m</w:t>
                  </w:r>
                  <w:r>
                    <w:rPr>
                      <w:rFonts w:hint="eastAsia"/>
                      <w:b/>
                      <w:bCs/>
                      <w:sz w:val="18"/>
                      <w:vertAlign w:val="superscript"/>
                    </w:rPr>
                    <w:t>3</w:t>
                  </w:r>
                  <w:r>
                    <w:rPr>
                      <w:rFonts w:hint="eastAsia"/>
                      <w:b/>
                      <w:bCs/>
                      <w:sz w:val="18"/>
                    </w:rPr>
                    <w:t>)</w:t>
                  </w:r>
                </w:p>
              </w:tc>
              <w:tc>
                <w:tcPr>
                  <w:tcW w:w="879" w:type="dxa"/>
                  <w:vMerge w:val="restart"/>
                  <w:tcBorders>
                    <w:top w:val="single" w:color="auto" w:sz="12"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最大浓度占标率%</w:t>
                  </w:r>
                </w:p>
              </w:tc>
              <w:tc>
                <w:tcPr>
                  <w:tcW w:w="567" w:type="dxa"/>
                  <w:vMerge w:val="restart"/>
                  <w:tcBorders>
                    <w:top w:val="single" w:color="auto" w:sz="12"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超标率%</w:t>
                  </w:r>
                </w:p>
              </w:tc>
              <w:tc>
                <w:tcPr>
                  <w:tcW w:w="534" w:type="dxa"/>
                  <w:vMerge w:val="restart"/>
                  <w:tcBorders>
                    <w:top w:val="single" w:color="auto" w:sz="12" w:space="0"/>
                    <w:left w:val="single" w:color="auto" w:sz="4" w:space="0"/>
                    <w:bottom w:val="single" w:color="auto" w:sz="12" w:space="0"/>
                    <w:right w:val="nil"/>
                  </w:tcBorders>
                  <w:vAlign w:val="center"/>
                </w:tcPr>
                <w:p>
                  <w:pPr>
                    <w:autoSpaceDE w:val="0"/>
                    <w:spacing w:line="240" w:lineRule="auto"/>
                    <w:ind w:firstLine="0" w:firstLineChars="0"/>
                    <w:jc w:val="center"/>
                    <w:rPr>
                      <w:b/>
                      <w:bCs/>
                      <w:sz w:val="18"/>
                    </w:rPr>
                  </w:pPr>
                  <w:r>
                    <w:rPr>
                      <w:rFonts w:hint="eastAsia"/>
                      <w:b/>
                      <w:bCs/>
                      <w:sz w:val="18"/>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786" w:type="dxa"/>
                  <w:vMerge w:val="continue"/>
                  <w:tcBorders>
                    <w:top w:val="single" w:color="auto" w:sz="12" w:space="0"/>
                    <w:left w:val="nil"/>
                    <w:bottom w:val="single" w:color="auto" w:sz="12" w:space="0"/>
                    <w:right w:val="single" w:color="auto" w:sz="4" w:space="0"/>
                  </w:tcBorders>
                  <w:vAlign w:val="center"/>
                </w:tcPr>
                <w:p>
                  <w:pPr>
                    <w:widowControl/>
                    <w:spacing w:line="240" w:lineRule="auto"/>
                    <w:ind w:firstLine="0" w:firstLineChars="0"/>
                    <w:jc w:val="center"/>
                    <w:rPr>
                      <w:sz w:val="18"/>
                    </w:rPr>
                  </w:pPr>
                </w:p>
              </w:tc>
              <w:tc>
                <w:tcPr>
                  <w:tcW w:w="1067"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经度</w:t>
                  </w:r>
                </w:p>
              </w:tc>
              <w:tc>
                <w:tcPr>
                  <w:tcW w:w="1010"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b/>
                      <w:bCs/>
                      <w:sz w:val="18"/>
                    </w:rPr>
                  </w:pPr>
                  <w:r>
                    <w:rPr>
                      <w:rFonts w:hint="eastAsia"/>
                      <w:b/>
                      <w:bCs/>
                      <w:sz w:val="18"/>
                    </w:rPr>
                    <w:t>纬度</w:t>
                  </w:r>
                </w:p>
              </w:tc>
              <w:tc>
                <w:tcPr>
                  <w:tcW w:w="617" w:type="dxa"/>
                  <w:vMerge w:val="continue"/>
                  <w:tcBorders>
                    <w:top w:val="single" w:color="auto" w:sz="12" w:space="0"/>
                    <w:left w:val="single" w:color="auto" w:sz="4" w:space="0"/>
                    <w:bottom w:val="single" w:color="auto" w:sz="12" w:space="0"/>
                    <w:right w:val="single" w:color="auto" w:sz="4" w:space="0"/>
                  </w:tcBorders>
                  <w:vAlign w:val="center"/>
                </w:tcPr>
                <w:p>
                  <w:pPr>
                    <w:widowControl/>
                    <w:spacing w:line="240" w:lineRule="auto"/>
                    <w:ind w:firstLine="0" w:firstLineChars="0"/>
                    <w:jc w:val="center"/>
                    <w:rPr>
                      <w:sz w:val="18"/>
                    </w:rPr>
                  </w:pPr>
                </w:p>
              </w:tc>
              <w:tc>
                <w:tcPr>
                  <w:tcW w:w="553" w:type="dxa"/>
                  <w:vMerge w:val="continue"/>
                  <w:tcBorders>
                    <w:top w:val="single" w:color="auto" w:sz="12" w:space="0"/>
                    <w:left w:val="single" w:color="auto" w:sz="4" w:space="0"/>
                    <w:bottom w:val="single" w:color="auto" w:sz="12" w:space="0"/>
                    <w:right w:val="single" w:color="auto" w:sz="4" w:space="0"/>
                  </w:tcBorders>
                  <w:vAlign w:val="center"/>
                </w:tcPr>
                <w:p>
                  <w:pPr>
                    <w:widowControl/>
                    <w:spacing w:line="240" w:lineRule="auto"/>
                    <w:ind w:firstLine="0" w:firstLineChars="0"/>
                    <w:jc w:val="center"/>
                    <w:rPr>
                      <w:sz w:val="18"/>
                    </w:rPr>
                  </w:pPr>
                </w:p>
              </w:tc>
              <w:tc>
                <w:tcPr>
                  <w:tcW w:w="876" w:type="dxa"/>
                  <w:vMerge w:val="continue"/>
                  <w:tcBorders>
                    <w:top w:val="single" w:color="auto" w:sz="12" w:space="0"/>
                    <w:left w:val="single" w:color="auto" w:sz="4" w:space="0"/>
                    <w:bottom w:val="single" w:color="auto" w:sz="12" w:space="0"/>
                    <w:right w:val="single" w:color="auto" w:sz="4" w:space="0"/>
                  </w:tcBorders>
                  <w:vAlign w:val="center"/>
                </w:tcPr>
                <w:p>
                  <w:pPr>
                    <w:widowControl/>
                    <w:spacing w:line="240" w:lineRule="auto"/>
                    <w:ind w:firstLine="0" w:firstLineChars="0"/>
                    <w:jc w:val="center"/>
                    <w:rPr>
                      <w:sz w:val="18"/>
                    </w:rPr>
                  </w:pPr>
                </w:p>
              </w:tc>
              <w:tc>
                <w:tcPr>
                  <w:tcW w:w="1083" w:type="dxa"/>
                  <w:vMerge w:val="continue"/>
                  <w:tcBorders>
                    <w:top w:val="single" w:color="auto" w:sz="12" w:space="0"/>
                    <w:left w:val="single" w:color="auto" w:sz="4" w:space="0"/>
                    <w:bottom w:val="single" w:color="auto" w:sz="12" w:space="0"/>
                    <w:right w:val="single" w:color="auto" w:sz="4" w:space="0"/>
                  </w:tcBorders>
                  <w:vAlign w:val="center"/>
                </w:tcPr>
                <w:p>
                  <w:pPr>
                    <w:widowControl/>
                    <w:spacing w:line="240" w:lineRule="auto"/>
                    <w:ind w:firstLine="0" w:firstLineChars="0"/>
                    <w:jc w:val="center"/>
                    <w:rPr>
                      <w:sz w:val="18"/>
                    </w:rPr>
                  </w:pPr>
                </w:p>
              </w:tc>
              <w:tc>
                <w:tcPr>
                  <w:tcW w:w="879" w:type="dxa"/>
                  <w:vMerge w:val="continue"/>
                  <w:tcBorders>
                    <w:top w:val="single" w:color="auto" w:sz="12" w:space="0"/>
                    <w:left w:val="single" w:color="auto" w:sz="4" w:space="0"/>
                    <w:bottom w:val="single" w:color="auto" w:sz="12" w:space="0"/>
                    <w:right w:val="single" w:color="auto" w:sz="4" w:space="0"/>
                  </w:tcBorders>
                  <w:vAlign w:val="center"/>
                </w:tcPr>
                <w:p>
                  <w:pPr>
                    <w:widowControl/>
                    <w:spacing w:line="240" w:lineRule="auto"/>
                    <w:ind w:firstLine="0" w:firstLineChars="0"/>
                    <w:jc w:val="center"/>
                    <w:rPr>
                      <w:sz w:val="18"/>
                    </w:rPr>
                  </w:pPr>
                </w:p>
              </w:tc>
              <w:tc>
                <w:tcPr>
                  <w:tcW w:w="567" w:type="dxa"/>
                  <w:vMerge w:val="continue"/>
                  <w:tcBorders>
                    <w:top w:val="single" w:color="auto" w:sz="12" w:space="0"/>
                    <w:left w:val="single" w:color="auto" w:sz="4" w:space="0"/>
                    <w:bottom w:val="single" w:color="auto" w:sz="12" w:space="0"/>
                    <w:right w:val="single" w:color="auto" w:sz="4" w:space="0"/>
                  </w:tcBorders>
                  <w:vAlign w:val="center"/>
                </w:tcPr>
                <w:p>
                  <w:pPr>
                    <w:widowControl/>
                    <w:spacing w:line="240" w:lineRule="auto"/>
                    <w:ind w:firstLine="0" w:firstLineChars="0"/>
                    <w:jc w:val="center"/>
                    <w:rPr>
                      <w:sz w:val="18"/>
                    </w:rPr>
                  </w:pPr>
                </w:p>
              </w:tc>
              <w:tc>
                <w:tcPr>
                  <w:tcW w:w="534" w:type="dxa"/>
                  <w:vMerge w:val="continue"/>
                  <w:tcBorders>
                    <w:top w:val="single" w:color="auto" w:sz="12" w:space="0"/>
                    <w:left w:val="single" w:color="auto" w:sz="4" w:space="0"/>
                    <w:bottom w:val="single" w:color="auto" w:sz="12" w:space="0"/>
                    <w:right w:val="nil"/>
                  </w:tcBorders>
                  <w:vAlign w:val="center"/>
                </w:tcPr>
                <w:p>
                  <w:pPr>
                    <w:widowControl/>
                    <w:spacing w:line="240" w:lineRule="auto"/>
                    <w:ind w:firstLine="0" w:firstLineChars="0"/>
                    <w:jc w:val="center"/>
                    <w:rPr>
                      <w:sz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786" w:type="dxa"/>
                  <w:tcBorders>
                    <w:top w:val="single" w:color="auto" w:sz="12" w:space="0"/>
                    <w:left w:val="nil"/>
                    <w:bottom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纳海鸣厂址</w:t>
                  </w:r>
                </w:p>
              </w:tc>
              <w:tc>
                <w:tcPr>
                  <w:tcW w:w="1067" w:type="dxa"/>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111.645920</w:t>
                  </w:r>
                </w:p>
              </w:tc>
              <w:tc>
                <w:tcPr>
                  <w:tcW w:w="1010" w:type="dxa"/>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36.077633</w:t>
                  </w:r>
                </w:p>
              </w:tc>
              <w:tc>
                <w:tcPr>
                  <w:tcW w:w="617" w:type="dxa"/>
                  <w:vMerge w:val="restart"/>
                  <w:tcBorders>
                    <w:top w:val="single" w:color="auto" w:sz="12" w:space="0"/>
                    <w:left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TSP</w:t>
                  </w:r>
                </w:p>
              </w:tc>
              <w:tc>
                <w:tcPr>
                  <w:tcW w:w="553" w:type="dxa"/>
                  <w:vMerge w:val="restart"/>
                  <w:tcBorders>
                    <w:top w:val="single" w:color="auto" w:sz="12" w:space="0"/>
                    <w:left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24小时平均</w:t>
                  </w:r>
                </w:p>
              </w:tc>
              <w:tc>
                <w:tcPr>
                  <w:tcW w:w="876" w:type="dxa"/>
                  <w:vMerge w:val="restart"/>
                  <w:tcBorders>
                    <w:top w:val="single" w:color="auto" w:sz="12" w:space="0"/>
                    <w:left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300</w:t>
                  </w:r>
                </w:p>
              </w:tc>
              <w:tc>
                <w:tcPr>
                  <w:tcW w:w="1083" w:type="dxa"/>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170-261</w:t>
                  </w:r>
                </w:p>
              </w:tc>
              <w:tc>
                <w:tcPr>
                  <w:tcW w:w="879" w:type="dxa"/>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87</w:t>
                  </w:r>
                </w:p>
              </w:tc>
              <w:tc>
                <w:tcPr>
                  <w:tcW w:w="567" w:type="dxa"/>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sz w:val="18"/>
                    </w:rPr>
                  </w:pPr>
                  <w:r>
                    <w:rPr>
                      <w:rFonts w:hint="eastAsia"/>
                      <w:sz w:val="18"/>
                    </w:rPr>
                    <w:t>0</w:t>
                  </w:r>
                </w:p>
              </w:tc>
              <w:tc>
                <w:tcPr>
                  <w:tcW w:w="534" w:type="dxa"/>
                  <w:tcBorders>
                    <w:top w:val="single" w:color="auto" w:sz="12" w:space="0"/>
                    <w:left w:val="single" w:color="auto" w:sz="4" w:space="0"/>
                    <w:bottom w:val="single" w:color="auto" w:sz="4" w:space="0"/>
                    <w:right w:val="nil"/>
                  </w:tcBorders>
                  <w:vAlign w:val="center"/>
                </w:tcPr>
                <w:p>
                  <w:pPr>
                    <w:autoSpaceDE w:val="0"/>
                    <w:spacing w:line="240" w:lineRule="auto"/>
                    <w:ind w:firstLine="0" w:firstLineChars="0"/>
                    <w:jc w:val="center"/>
                    <w:rPr>
                      <w:sz w:val="18"/>
                    </w:rPr>
                  </w:pPr>
                  <w:r>
                    <w:rPr>
                      <w:rFonts w:hint="eastAsia"/>
                      <w:sz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786" w:type="dxa"/>
                  <w:tcBorders>
                    <w:top w:val="single" w:color="auto" w:sz="4" w:space="0"/>
                    <w:left w:val="nil"/>
                    <w:bottom w:val="single" w:color="auto" w:sz="12" w:space="0"/>
                    <w:right w:val="single" w:color="auto" w:sz="4" w:space="0"/>
                  </w:tcBorders>
                  <w:vAlign w:val="center"/>
                </w:tcPr>
                <w:p>
                  <w:pPr>
                    <w:autoSpaceDE w:val="0"/>
                    <w:spacing w:line="240" w:lineRule="auto"/>
                    <w:ind w:firstLine="0" w:firstLineChars="0"/>
                    <w:jc w:val="center"/>
                    <w:rPr>
                      <w:sz w:val="18"/>
                    </w:rPr>
                  </w:pPr>
                  <w:r>
                    <w:rPr>
                      <w:rFonts w:hint="eastAsia"/>
                      <w:sz w:val="18"/>
                    </w:rPr>
                    <w:t>王雅村</w:t>
                  </w:r>
                </w:p>
              </w:tc>
              <w:tc>
                <w:tcPr>
                  <w:tcW w:w="1067"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sz w:val="18"/>
                    </w:rPr>
                  </w:pPr>
                  <w:r>
                    <w:rPr>
                      <w:rFonts w:hint="eastAsia"/>
                      <w:sz w:val="18"/>
                    </w:rPr>
                    <w:t>111.656252</w:t>
                  </w:r>
                </w:p>
              </w:tc>
              <w:tc>
                <w:tcPr>
                  <w:tcW w:w="1010"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sz w:val="18"/>
                    </w:rPr>
                  </w:pPr>
                  <w:r>
                    <w:rPr>
                      <w:rFonts w:hint="eastAsia"/>
                      <w:sz w:val="18"/>
                    </w:rPr>
                    <w:t>36.079176</w:t>
                  </w:r>
                </w:p>
              </w:tc>
              <w:tc>
                <w:tcPr>
                  <w:tcW w:w="617" w:type="dxa"/>
                  <w:vMerge w:val="continue"/>
                  <w:tcBorders>
                    <w:left w:val="single" w:color="auto" w:sz="4" w:space="0"/>
                    <w:bottom w:val="single" w:color="auto" w:sz="12" w:space="0"/>
                    <w:right w:val="single" w:color="auto" w:sz="4" w:space="0"/>
                  </w:tcBorders>
                  <w:vAlign w:val="center"/>
                </w:tcPr>
                <w:p>
                  <w:pPr>
                    <w:autoSpaceDE w:val="0"/>
                    <w:spacing w:line="240" w:lineRule="auto"/>
                    <w:ind w:firstLine="0" w:firstLineChars="0"/>
                    <w:jc w:val="center"/>
                    <w:rPr>
                      <w:sz w:val="18"/>
                    </w:rPr>
                  </w:pPr>
                </w:p>
              </w:tc>
              <w:tc>
                <w:tcPr>
                  <w:tcW w:w="553" w:type="dxa"/>
                  <w:vMerge w:val="continue"/>
                  <w:tcBorders>
                    <w:left w:val="single" w:color="auto" w:sz="4" w:space="0"/>
                    <w:bottom w:val="single" w:color="auto" w:sz="12" w:space="0"/>
                    <w:right w:val="single" w:color="auto" w:sz="4" w:space="0"/>
                  </w:tcBorders>
                  <w:vAlign w:val="center"/>
                </w:tcPr>
                <w:p>
                  <w:pPr>
                    <w:autoSpaceDE w:val="0"/>
                    <w:spacing w:line="240" w:lineRule="auto"/>
                    <w:ind w:firstLine="0" w:firstLineChars="0"/>
                    <w:jc w:val="center"/>
                    <w:rPr>
                      <w:sz w:val="18"/>
                    </w:rPr>
                  </w:pPr>
                </w:p>
              </w:tc>
              <w:tc>
                <w:tcPr>
                  <w:tcW w:w="876" w:type="dxa"/>
                  <w:vMerge w:val="continue"/>
                  <w:tcBorders>
                    <w:left w:val="single" w:color="auto" w:sz="4" w:space="0"/>
                    <w:bottom w:val="single" w:color="auto" w:sz="12" w:space="0"/>
                    <w:right w:val="single" w:color="auto" w:sz="4" w:space="0"/>
                  </w:tcBorders>
                  <w:vAlign w:val="center"/>
                </w:tcPr>
                <w:p>
                  <w:pPr>
                    <w:autoSpaceDE w:val="0"/>
                    <w:spacing w:line="240" w:lineRule="auto"/>
                    <w:ind w:firstLine="0" w:firstLineChars="0"/>
                    <w:jc w:val="center"/>
                    <w:rPr>
                      <w:sz w:val="18"/>
                    </w:rPr>
                  </w:pPr>
                </w:p>
              </w:tc>
              <w:tc>
                <w:tcPr>
                  <w:tcW w:w="1083"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sz w:val="18"/>
                    </w:rPr>
                  </w:pPr>
                  <w:r>
                    <w:rPr>
                      <w:rFonts w:hint="eastAsia"/>
                      <w:sz w:val="18"/>
                    </w:rPr>
                    <w:t>106-172</w:t>
                  </w:r>
                </w:p>
              </w:tc>
              <w:tc>
                <w:tcPr>
                  <w:tcW w:w="879"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sz w:val="18"/>
                    </w:rPr>
                  </w:pPr>
                  <w:r>
                    <w:rPr>
                      <w:rFonts w:hint="eastAsia"/>
                      <w:sz w:val="18"/>
                    </w:rPr>
                    <w:t>57</w:t>
                  </w:r>
                </w:p>
              </w:tc>
              <w:tc>
                <w:tcPr>
                  <w:tcW w:w="567"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sz w:val="18"/>
                    </w:rPr>
                  </w:pPr>
                  <w:r>
                    <w:rPr>
                      <w:rFonts w:hint="eastAsia"/>
                      <w:sz w:val="18"/>
                    </w:rPr>
                    <w:t>0</w:t>
                  </w:r>
                </w:p>
              </w:tc>
              <w:tc>
                <w:tcPr>
                  <w:tcW w:w="534" w:type="dxa"/>
                  <w:tcBorders>
                    <w:top w:val="single" w:color="auto" w:sz="4" w:space="0"/>
                    <w:left w:val="single" w:color="auto" w:sz="4" w:space="0"/>
                    <w:bottom w:val="single" w:color="auto" w:sz="12" w:space="0"/>
                    <w:right w:val="nil"/>
                  </w:tcBorders>
                  <w:vAlign w:val="center"/>
                </w:tcPr>
                <w:p>
                  <w:pPr>
                    <w:autoSpaceDE w:val="0"/>
                    <w:spacing w:line="240" w:lineRule="auto"/>
                    <w:ind w:firstLine="0" w:firstLineChars="0"/>
                    <w:jc w:val="center"/>
                    <w:rPr>
                      <w:sz w:val="18"/>
                    </w:rPr>
                  </w:pPr>
                  <w:r>
                    <w:rPr>
                      <w:rFonts w:hint="eastAsia"/>
                      <w:sz w:val="18"/>
                    </w:rPr>
                    <w:t>达标</w:t>
                  </w:r>
                </w:p>
              </w:tc>
            </w:tr>
          </w:tbl>
          <w:p>
            <w:pPr>
              <w:ind w:firstLine="480"/>
              <w:rPr>
                <w:rFonts w:hint="default"/>
              </w:rPr>
            </w:pPr>
            <w:r>
              <w:rPr>
                <w:rFonts w:hint="eastAsia"/>
              </w:rPr>
              <w:t>由表3-2知，纳海鸣厂址和王雅村TSP浓度能够满足《环境空气质量标准》（GB3095-2012）二级标准限值：24小时平均浓度范围300</w:t>
            </w:r>
            <w:r>
              <w:t>μg/m</w:t>
            </w:r>
            <w:r>
              <w:rPr>
                <w:rFonts w:hint="eastAsia"/>
                <w:vertAlign w:val="superscript"/>
              </w:rPr>
              <w:t>3</w:t>
            </w:r>
            <w:r>
              <w:rPr>
                <w:rFonts w:hint="eastAsia"/>
              </w:rPr>
              <w:t>。</w:t>
            </w:r>
          </w:p>
          <w:p>
            <w:pPr>
              <w:pStyle w:val="4"/>
              <w:suppressLineNumbers w:val="0"/>
              <w:spacing w:before="0" w:beforeAutospacing="0" w:after="0" w:afterAutospacing="0" w:line="240" w:lineRule="auto"/>
              <w:ind w:left="0" w:right="0"/>
              <w:jc w:val="center"/>
              <w:rPr>
                <w:rFonts w:hint="default"/>
                <w:sz w:val="21"/>
                <w:szCs w:val="21"/>
              </w:rPr>
            </w:pPr>
            <w:r>
              <w:rPr>
                <w:rFonts w:hint="eastAsia" w:eastAsia="宋体"/>
                <w:sz w:val="21"/>
                <w:szCs w:val="21"/>
                <w:lang w:eastAsia="zh-CN"/>
              </w:rPr>
              <w:drawing>
                <wp:anchor distT="0" distB="0" distL="114300" distR="114300" simplePos="0" relativeHeight="251667456" behindDoc="1" locked="0" layoutInCell="1" allowOverlap="1">
                  <wp:simplePos x="0" y="0"/>
                  <wp:positionH relativeFrom="column">
                    <wp:posOffset>5715</wp:posOffset>
                  </wp:positionH>
                  <wp:positionV relativeFrom="paragraph">
                    <wp:posOffset>78740</wp:posOffset>
                  </wp:positionV>
                  <wp:extent cx="5052695" cy="2393315"/>
                  <wp:effectExtent l="0" t="0" r="14605" b="6985"/>
                  <wp:wrapNone/>
                  <wp:docPr id="5" name="图片 5" descr="3613a242f01e1494d76f1a2720016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613a242f01e1494d76f1a2720016cf"/>
                          <pic:cNvPicPr>
                            <a:picLocks noChangeAspect="1"/>
                          </pic:cNvPicPr>
                        </pic:nvPicPr>
                        <pic:blipFill>
                          <a:blip r:embed="rId30"/>
                          <a:stretch>
                            <a:fillRect/>
                          </a:stretch>
                        </pic:blipFill>
                        <pic:spPr>
                          <a:xfrm>
                            <a:off x="0" y="0"/>
                            <a:ext cx="5052695" cy="2393315"/>
                          </a:xfrm>
                          <a:prstGeom prst="rect">
                            <a:avLst/>
                          </a:prstGeom>
                        </pic:spPr>
                      </pic:pic>
                    </a:graphicData>
                  </a:graphic>
                </wp:anchor>
              </w:drawing>
            </w: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r>
              <w:rPr>
                <w:rFonts w:hint="default"/>
                <w:sz w:val="21"/>
              </w:rPr>
              <mc:AlternateContent>
                <mc:Choice Requires="wps">
                  <w:drawing>
                    <wp:anchor distT="0" distB="0" distL="114300" distR="114300" simplePos="0" relativeHeight="251666432" behindDoc="0" locked="0" layoutInCell="1" allowOverlap="1">
                      <wp:simplePos x="0" y="0"/>
                      <wp:positionH relativeFrom="column">
                        <wp:posOffset>2165985</wp:posOffset>
                      </wp:positionH>
                      <wp:positionV relativeFrom="paragraph">
                        <wp:posOffset>106045</wp:posOffset>
                      </wp:positionV>
                      <wp:extent cx="1529715" cy="697230"/>
                      <wp:effectExtent l="1905" t="4445" r="11430" b="22225"/>
                      <wp:wrapNone/>
                      <wp:docPr id="1" name="直接箭头连接符 1"/>
                      <wp:cNvGraphicFramePr/>
                      <a:graphic xmlns:a="http://schemas.openxmlformats.org/drawingml/2006/main">
                        <a:graphicData uri="http://schemas.microsoft.com/office/word/2010/wordprocessingShape">
                          <wps:wsp>
                            <wps:cNvCnPr/>
                            <wps:spPr>
                              <a:xfrm>
                                <a:off x="3797300" y="3338830"/>
                                <a:ext cx="1529715" cy="69723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70.55pt;margin-top:8.35pt;height:54.9pt;width:120.45pt;z-index:251666432;mso-width-relative:page;mso-height-relative:page;" filled="f" stroked="t" coordsize="21600,21600" o:gfxdata="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ppBQ9oAAAAKAQAA&#10;DwAAAAAAAAABACAAAAAiAAAAZHJzL2Rvd25yZXYueG1sUEsBAhQAFAAAAAgAh07iQKl1dFUXAgAA&#10;7wMAAA4AAAAAAAAAAQAgAAAAKQEAAGRycy9lMm9Eb2MueG1sUEsFBgAAAAAGAAYAWQEAALIFAAAA&#10;AA==&#10;">
                      <v:fill on="f" focussize="0,0"/>
                      <v:stroke weight="0.5pt" color="#FF0000 [3204]"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67456" behindDoc="0" locked="0" layoutInCell="1" allowOverlap="1">
                      <wp:simplePos x="0" y="0"/>
                      <wp:positionH relativeFrom="column">
                        <wp:posOffset>2388870</wp:posOffset>
                      </wp:positionH>
                      <wp:positionV relativeFrom="paragraph">
                        <wp:posOffset>100330</wp:posOffset>
                      </wp:positionV>
                      <wp:extent cx="914400" cy="209550"/>
                      <wp:effectExtent l="0" t="0" r="0" b="0"/>
                      <wp:wrapNone/>
                      <wp:docPr id="7" name="文本框 7"/>
                      <wp:cNvGraphicFramePr/>
                      <a:graphic xmlns:a="http://schemas.openxmlformats.org/drawingml/2006/main">
                        <a:graphicData uri="http://schemas.microsoft.com/office/word/2010/wordprocessingShape">
                          <wps:wsp>
                            <wps:cNvSpPr txBox="1"/>
                            <wps:spPr>
                              <a:xfrm rot="1320000">
                                <a:off x="4298950" y="3501390"/>
                                <a:ext cx="91440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1"/>
                                      <w:szCs w:val="21"/>
                                      <w:lang w:val="en-US" w:eastAsia="zh-CN"/>
                                    </w:rPr>
                                  </w:pPr>
                                  <w:r>
                                    <w:rPr>
                                      <w:rFonts w:hint="eastAsia"/>
                                      <w:b/>
                                      <w:bCs/>
                                      <w:color w:val="FF0000"/>
                                      <w:sz w:val="21"/>
                                      <w:szCs w:val="21"/>
                                      <w:lang w:val="en-US" w:eastAsia="zh-CN"/>
                                    </w:rPr>
                                    <w:t>1100m</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188.1pt;margin-top:7.9pt;height:16.5pt;width:72pt;rotation:1441792f;z-index:251667456;mso-width-relative:page;mso-height-relative:page;" filled="f" stroked="f" coordsize="21600,21600" o:gfxdata="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0SlZDYAAAACQEA&#10;AA8AAAAAAAAAAQAgAAAAIgAAAGRycy9kb3ducmV2LnhtbFBLAQIUABQAAAAIAIdO4kDzyjUzUwIA&#10;AIsEAAAOAAAAAAAAAAEAIAAAACcBAABkcnMvZTJvRG9jLnhtbFBLBQYAAAAABgAGAFkBAADsBQAA&#10;AAA=&#10;">
                      <v:fill on="f" focussize="0,0"/>
                      <v:stroke on="f" weight="0.5pt"/>
                      <v:imagedata o:title=""/>
                      <o:lock v:ext="edit" aspectratio="f"/>
                      <v:textbox style="mso-fit-shape-to-text:t;">
                        <w:txbxContent>
                          <w:p>
                            <w:pPr>
                              <w:rPr>
                                <w:rFonts w:hint="default" w:eastAsia="宋体"/>
                                <w:b/>
                                <w:bCs/>
                                <w:color w:val="FF0000"/>
                                <w:sz w:val="21"/>
                                <w:szCs w:val="21"/>
                                <w:lang w:val="en-US" w:eastAsia="zh-CN"/>
                              </w:rPr>
                            </w:pPr>
                            <w:r>
                              <w:rPr>
                                <w:rFonts w:hint="eastAsia"/>
                                <w:b/>
                                <w:bCs/>
                                <w:color w:val="FF0000"/>
                                <w:sz w:val="21"/>
                                <w:szCs w:val="21"/>
                                <w:lang w:val="en-US" w:eastAsia="zh-CN"/>
                              </w:rPr>
                              <w:t>1100m</w:t>
                            </w:r>
                          </w:p>
                        </w:txbxContent>
                      </v:textbox>
                    </v:shape>
                  </w:pict>
                </mc:Fallback>
              </mc:AlternateContent>
            </w: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r>
              <w:rPr>
                <w:rFonts w:hint="default"/>
                <w:sz w:val="21"/>
              </w:rPr>
              <mc:AlternateContent>
                <mc:Choice Requires="wps">
                  <w:drawing>
                    <wp:anchor distT="0" distB="0" distL="114300" distR="114300" simplePos="0" relativeHeight="251669504" behindDoc="0" locked="0" layoutInCell="1" allowOverlap="1">
                      <wp:simplePos x="0" y="0"/>
                      <wp:positionH relativeFrom="column">
                        <wp:posOffset>1688465</wp:posOffset>
                      </wp:positionH>
                      <wp:positionV relativeFrom="paragraph">
                        <wp:posOffset>113665</wp:posOffset>
                      </wp:positionV>
                      <wp:extent cx="914400" cy="209550"/>
                      <wp:effectExtent l="0" t="0" r="0" b="0"/>
                      <wp:wrapNone/>
                      <wp:docPr id="9" name="文本框 9"/>
                      <wp:cNvGraphicFramePr/>
                      <a:graphic xmlns:a="http://schemas.openxmlformats.org/drawingml/2006/main">
                        <a:graphicData uri="http://schemas.microsoft.com/office/word/2010/wordprocessingShape">
                          <wps:wsp>
                            <wps:cNvSpPr txBox="1"/>
                            <wps:spPr>
                              <a:xfrm rot="300000">
                                <a:off x="0" y="0"/>
                                <a:ext cx="91440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sz w:val="21"/>
                                      <w:szCs w:val="21"/>
                                      <w:lang w:val="en-US" w:eastAsia="zh-CN"/>
                                    </w:rPr>
                                  </w:pPr>
                                  <w:r>
                                    <w:rPr>
                                      <w:rFonts w:hint="eastAsia"/>
                                      <w:b/>
                                      <w:bCs/>
                                      <w:color w:val="FF0000"/>
                                      <w:sz w:val="21"/>
                                      <w:szCs w:val="21"/>
                                      <w:lang w:val="en-US" w:eastAsia="zh-CN"/>
                                    </w:rPr>
                                    <w:t>400m</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132.95pt;margin-top:8.95pt;height:16.5pt;width:72pt;rotation:327680f;z-index:251669504;mso-width-relative:page;mso-height-relative:page;" filled="f" stroked="f" coordsize="21600,21600" o:gfxdata="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yrasDZAAAACQEAAA8AAAAAAAAAAQAg&#10;AAAAIgAAAGRycy9kb3ducmV2LnhtbFBLAQIUABQAAAAIAIdO4kBuhoOfRgIAAH4EAAAOAAAAAAAA&#10;AAEAIAAAACgBAABkcnMvZTJvRG9jLnhtbFBLBQYAAAAABgAGAFkBAADgBQAAAAA=&#10;">
                      <v:fill on="f" focussize="0,0"/>
                      <v:stroke on="f" weight="0.5pt"/>
                      <v:imagedata o:title=""/>
                      <o:lock v:ext="edit" aspectratio="f"/>
                      <v:textbox style="mso-fit-shape-to-text:t;">
                        <w:txbxContent>
                          <w:p>
                            <w:pPr>
                              <w:rPr>
                                <w:rFonts w:hint="default" w:eastAsia="宋体"/>
                                <w:b/>
                                <w:bCs/>
                                <w:color w:val="FF0000"/>
                                <w:sz w:val="21"/>
                                <w:szCs w:val="21"/>
                                <w:lang w:val="en-US" w:eastAsia="zh-CN"/>
                              </w:rPr>
                            </w:pPr>
                            <w:r>
                              <w:rPr>
                                <w:rFonts w:hint="eastAsia"/>
                                <w:b/>
                                <w:bCs/>
                                <w:color w:val="FF0000"/>
                                <w:sz w:val="21"/>
                                <w:szCs w:val="21"/>
                                <w:lang w:val="en-US" w:eastAsia="zh-CN"/>
                              </w:rPr>
                              <w:t>400m</w:t>
                            </w:r>
                          </w:p>
                        </w:txbxContent>
                      </v:textbox>
                    </v:shape>
                  </w:pict>
                </mc:Fallback>
              </mc:AlternateContent>
            </w:r>
            <w:r>
              <w:rPr>
                <w:rFonts w:hint="default"/>
                <w:sz w:val="21"/>
              </w:rPr>
              <mc:AlternateContent>
                <mc:Choice Requires="wps">
                  <w:drawing>
                    <wp:anchor distT="0" distB="0" distL="114300" distR="114300" simplePos="0" relativeHeight="251668480" behindDoc="0" locked="0" layoutInCell="1" allowOverlap="1">
                      <wp:simplePos x="0" y="0"/>
                      <wp:positionH relativeFrom="column">
                        <wp:posOffset>1970405</wp:posOffset>
                      </wp:positionH>
                      <wp:positionV relativeFrom="paragraph">
                        <wp:posOffset>38100</wp:posOffset>
                      </wp:positionV>
                      <wp:extent cx="111760" cy="603885"/>
                      <wp:effectExtent l="33020" t="635" r="7620" b="5080"/>
                      <wp:wrapNone/>
                      <wp:docPr id="8" name="直接箭头连接符 8"/>
                      <wp:cNvGraphicFramePr/>
                      <a:graphic xmlns:a="http://schemas.openxmlformats.org/drawingml/2006/main">
                        <a:graphicData uri="http://schemas.microsoft.com/office/word/2010/wordprocessingShape">
                          <wps:wsp>
                            <wps:cNvCnPr/>
                            <wps:spPr>
                              <a:xfrm flipH="1">
                                <a:off x="3472815" y="3618230"/>
                                <a:ext cx="111760" cy="60388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55.15pt;margin-top:3pt;height:47.55pt;width:8.8pt;z-index:251668480;mso-width-relative:page;mso-height-relative:page;" filled="f" stroked="t" coordsize="21600,21600" o:gfxdata="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L964HYAAAA&#10;CQEAAA8AAAAAAAAAAQAgAAAAIgAAAGRycy9kb3ducmV2LnhtbFBLAQIUABQAAAAIAIdO4kDGapHY&#10;HQIAAPgDAAAOAAAAAAAAAAEAIAAAACcBAABkcnMvZTJvRG9jLnhtbFBLBQYAAAAABgAGAFkBAAC2&#10;BQAAAAA=&#10;">
                      <v:fill on="f" focussize="0,0"/>
                      <v:stroke weight="0.5pt" color="#FF0000 [3204]" miterlimit="8" joinstyle="miter" endarrow="open"/>
                      <v:imagedata o:title=""/>
                      <o:lock v:ext="edit" aspectratio="f"/>
                    </v:shape>
                  </w:pict>
                </mc:Fallback>
              </mc:AlternateContent>
            </w: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eastAsia" w:eastAsia="宋体"/>
                <w:sz w:val="21"/>
                <w:szCs w:val="21"/>
                <w:lang w:eastAsia="zh-CN"/>
              </w:rPr>
            </w:pP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p>
          <w:p>
            <w:pPr>
              <w:pStyle w:val="4"/>
              <w:suppressLineNumbers w:val="0"/>
              <w:spacing w:before="0" w:beforeAutospacing="0" w:after="0" w:afterAutospacing="0" w:line="240" w:lineRule="auto"/>
              <w:ind w:left="0" w:right="0"/>
              <w:jc w:val="center"/>
              <w:rPr>
                <w:rFonts w:hint="default"/>
                <w:sz w:val="21"/>
                <w:szCs w:val="21"/>
              </w:rPr>
            </w:pPr>
          </w:p>
          <w:p>
            <w:pPr>
              <w:pStyle w:val="4"/>
              <w:spacing w:line="240" w:lineRule="auto"/>
              <w:jc w:val="center"/>
              <w:rPr>
                <w:sz w:val="21"/>
                <w:szCs w:val="21"/>
              </w:rPr>
            </w:pPr>
            <w:r>
              <w:rPr>
                <w:rFonts w:hint="eastAsia"/>
                <w:sz w:val="21"/>
                <w:szCs w:val="21"/>
              </w:rPr>
              <w:t>图3-1  大气监测布点示意图</w:t>
            </w:r>
          </w:p>
          <w:p>
            <w:pPr>
              <w:pStyle w:val="4"/>
            </w:pPr>
            <w:r>
              <w:rPr>
                <w:rFonts w:hint="eastAsia"/>
              </w:rPr>
              <w:t>3.</w:t>
            </w:r>
            <w:r>
              <w:t>2</w:t>
            </w:r>
            <w:r>
              <w:rPr>
                <w:rFonts w:hint="eastAsia"/>
              </w:rPr>
              <w:t>地表水环境质量现状</w:t>
            </w:r>
          </w:p>
          <w:p>
            <w:pPr>
              <w:ind w:firstLine="480"/>
            </w:pPr>
            <w:r>
              <w:rPr>
                <w:rFonts w:hint="eastAsia"/>
              </w:rPr>
              <w:t>项目距离最近的地表水体为涝河和洰河，分别属于汾河一级支流。根据《山西省地表水水环境功能区划》(DB14/67-2019)，项目所在区域位于“涝河、洰河水库出口-入汾河”段，水环境功能为农业用水保护，执行《地表水环境质量标准》(GB3838-2002)中V类标准。</w:t>
            </w:r>
          </w:p>
          <w:p>
            <w:pPr>
              <w:ind w:firstLine="480"/>
            </w:pPr>
            <w:r>
              <w:rPr>
                <w:rFonts w:hint="eastAsia"/>
              </w:rPr>
              <w:t>根据《2021年国、省考断面水质类别情况》显示：尧都区涝、洰河高河村西断面2021年水质为Ⅳ类，该河段水质基本良好。</w:t>
            </w:r>
          </w:p>
          <w:p>
            <w:pPr>
              <w:pStyle w:val="42"/>
              <w:spacing w:line="240" w:lineRule="auto"/>
              <w:ind w:firstLine="0" w:firstLineChars="0"/>
              <w:jc w:val="center"/>
              <w:rPr>
                <w:rStyle w:val="41"/>
                <w:b/>
                <w:bCs/>
                <w:color w:val="auto"/>
                <w:kern w:val="0"/>
                <w:szCs w:val="20"/>
              </w:rPr>
            </w:pPr>
            <w:r>
              <w:rPr>
                <w:rStyle w:val="41"/>
                <w:rFonts w:hint="eastAsia"/>
                <w:b/>
                <w:bCs/>
                <w:color w:val="auto"/>
                <w:kern w:val="0"/>
                <w:szCs w:val="20"/>
              </w:rPr>
              <w:t>表3-3  2021年尧都区涝、洰河高河村西平均断面水质数据   单位mg/L</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1395"/>
              <w:gridCol w:w="950"/>
              <w:gridCol w:w="903"/>
              <w:gridCol w:w="892"/>
              <w:gridCol w:w="1110"/>
              <w:gridCol w:w="915"/>
              <w:gridCol w:w="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top w:val="single" w:color="auto" w:sz="12" w:space="0"/>
                    <w:left w:val="nil"/>
                    <w:bottom w:val="single" w:color="auto" w:sz="12" w:space="0"/>
                  </w:tcBorders>
                  <w:vAlign w:val="center"/>
                </w:tcPr>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项目</w:t>
                  </w:r>
                </w:p>
              </w:tc>
              <w:tc>
                <w:tcPr>
                  <w:tcW w:w="1397" w:type="dxa"/>
                  <w:tcBorders>
                    <w:top w:val="single" w:color="auto" w:sz="12" w:space="0"/>
                    <w:bottom w:val="single" w:color="auto" w:sz="12" w:space="0"/>
                  </w:tcBorders>
                  <w:vAlign w:val="center"/>
                </w:tcPr>
                <w:p>
                  <w:pPr>
                    <w:pStyle w:val="14"/>
                    <w:spacing w:line="240" w:lineRule="auto"/>
                    <w:ind w:firstLine="0" w:firstLineChars="0"/>
                    <w:jc w:val="center"/>
                    <w:rPr>
                      <w:rStyle w:val="41"/>
                      <w:b/>
                      <w:bCs/>
                    </w:rPr>
                  </w:pPr>
                  <w:r>
                    <w:rPr>
                      <w:rStyle w:val="41"/>
                      <w:rFonts w:hint="eastAsia"/>
                      <w:b/>
                      <w:bCs/>
                    </w:rPr>
                    <w:t>高河村西</w:t>
                  </w:r>
                </w:p>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断面数据</w:t>
                  </w:r>
                </w:p>
              </w:tc>
              <w:tc>
                <w:tcPr>
                  <w:tcW w:w="951" w:type="dxa"/>
                  <w:tcBorders>
                    <w:top w:val="single" w:color="auto" w:sz="12" w:space="0"/>
                    <w:bottom w:val="single" w:color="auto" w:sz="12" w:space="0"/>
                  </w:tcBorders>
                  <w:vAlign w:val="center"/>
                </w:tcPr>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Ⅴ类</w:t>
                  </w:r>
                </w:p>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标准</w:t>
                  </w:r>
                </w:p>
              </w:tc>
              <w:tc>
                <w:tcPr>
                  <w:tcW w:w="904" w:type="dxa"/>
                  <w:tcBorders>
                    <w:top w:val="single" w:color="auto" w:sz="12" w:space="0"/>
                    <w:bottom w:val="single" w:color="auto" w:sz="12" w:space="0"/>
                  </w:tcBorders>
                  <w:vAlign w:val="center"/>
                </w:tcPr>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是否</w:t>
                  </w:r>
                </w:p>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达标</w:t>
                  </w:r>
                </w:p>
              </w:tc>
              <w:tc>
                <w:tcPr>
                  <w:tcW w:w="893" w:type="dxa"/>
                  <w:tcBorders>
                    <w:top w:val="single" w:color="auto" w:sz="12" w:space="0"/>
                    <w:bottom w:val="single" w:color="auto" w:sz="12" w:space="0"/>
                  </w:tcBorders>
                  <w:vAlign w:val="center"/>
                </w:tcPr>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项目</w:t>
                  </w:r>
                </w:p>
              </w:tc>
              <w:tc>
                <w:tcPr>
                  <w:tcW w:w="1111" w:type="dxa"/>
                  <w:tcBorders>
                    <w:top w:val="single" w:color="auto" w:sz="12" w:space="0"/>
                    <w:bottom w:val="single" w:color="auto" w:sz="12" w:space="0"/>
                  </w:tcBorders>
                  <w:vAlign w:val="center"/>
                </w:tcPr>
                <w:p>
                  <w:pPr>
                    <w:pStyle w:val="14"/>
                    <w:spacing w:line="240" w:lineRule="auto"/>
                    <w:ind w:firstLine="0" w:firstLineChars="0"/>
                    <w:jc w:val="center"/>
                    <w:rPr>
                      <w:rStyle w:val="41"/>
                      <w:rFonts w:ascii="Times New Roman" w:hAnsi="Times New Roman"/>
                      <w:b/>
                      <w:bCs/>
                    </w:rPr>
                  </w:pPr>
                  <w:r>
                    <w:rPr>
                      <w:rStyle w:val="41"/>
                      <w:rFonts w:hint="eastAsia"/>
                      <w:b/>
                      <w:bCs/>
                    </w:rPr>
                    <w:t>高河村西</w:t>
                  </w:r>
                  <w:r>
                    <w:rPr>
                      <w:rStyle w:val="41"/>
                      <w:rFonts w:hint="eastAsia" w:ascii="Times New Roman" w:hAnsi="Times New Roman"/>
                      <w:b/>
                      <w:bCs/>
                    </w:rPr>
                    <w:t>断面数据</w:t>
                  </w:r>
                </w:p>
              </w:tc>
              <w:tc>
                <w:tcPr>
                  <w:tcW w:w="916" w:type="dxa"/>
                  <w:tcBorders>
                    <w:top w:val="single" w:color="auto" w:sz="12" w:space="0"/>
                    <w:bottom w:val="single" w:color="auto" w:sz="12" w:space="0"/>
                  </w:tcBorders>
                  <w:vAlign w:val="center"/>
                </w:tcPr>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Ⅴ类</w:t>
                  </w:r>
                </w:p>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标准</w:t>
                  </w:r>
                </w:p>
              </w:tc>
              <w:tc>
                <w:tcPr>
                  <w:tcW w:w="723" w:type="dxa"/>
                  <w:tcBorders>
                    <w:top w:val="single" w:color="auto" w:sz="12" w:space="0"/>
                    <w:bottom w:val="single" w:color="auto" w:sz="12" w:space="0"/>
                    <w:right w:val="nil"/>
                  </w:tcBorders>
                  <w:vAlign w:val="center"/>
                </w:tcPr>
                <w:p>
                  <w:pPr>
                    <w:pStyle w:val="14"/>
                    <w:spacing w:line="240" w:lineRule="auto"/>
                    <w:ind w:firstLine="0" w:firstLineChars="0"/>
                    <w:jc w:val="center"/>
                    <w:rPr>
                      <w:rStyle w:val="41"/>
                      <w:rFonts w:ascii="Times New Roman" w:hAnsi="Times New Roman"/>
                      <w:b/>
                      <w:bCs/>
                    </w:rPr>
                  </w:pPr>
                  <w:r>
                    <w:rPr>
                      <w:rStyle w:val="41"/>
                      <w:rFonts w:hint="eastAsia" w:ascii="Times New Roman" w:hAnsi="Times New Roman"/>
                      <w:b/>
                      <w:bCs/>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79" w:type="dxa"/>
                  <w:tcBorders>
                    <w:top w:val="single" w:color="auto" w:sz="12" w:space="0"/>
                    <w:left w:val="nil"/>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pH值</w:t>
                  </w:r>
                </w:p>
              </w:tc>
              <w:tc>
                <w:tcPr>
                  <w:tcW w:w="1397" w:type="dxa"/>
                  <w:tcBorders>
                    <w:top w:val="single" w:color="auto" w:sz="12" w:space="0"/>
                  </w:tcBorders>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8</w:t>
                  </w:r>
                </w:p>
              </w:tc>
              <w:tc>
                <w:tcPr>
                  <w:tcW w:w="951" w:type="dxa"/>
                  <w:tcBorders>
                    <w:top w:val="single" w:color="auto" w:sz="12" w:space="0"/>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6—9</w:t>
                  </w:r>
                </w:p>
              </w:tc>
              <w:tc>
                <w:tcPr>
                  <w:tcW w:w="904" w:type="dxa"/>
                  <w:tcBorders>
                    <w:top w:val="single" w:color="auto" w:sz="12" w:space="0"/>
                  </w:tcBorders>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达标</w:t>
                  </w:r>
                </w:p>
              </w:tc>
              <w:tc>
                <w:tcPr>
                  <w:tcW w:w="893" w:type="dxa"/>
                  <w:tcBorders>
                    <w:top w:val="single" w:color="auto" w:sz="12" w:space="0"/>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T-As</w:t>
                  </w:r>
                </w:p>
              </w:tc>
              <w:tc>
                <w:tcPr>
                  <w:tcW w:w="1111" w:type="dxa"/>
                  <w:tcBorders>
                    <w:top w:val="single" w:color="auto" w:sz="12" w:space="0"/>
                  </w:tcBorders>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.0011</w:t>
                  </w:r>
                </w:p>
              </w:tc>
              <w:tc>
                <w:tcPr>
                  <w:tcW w:w="916" w:type="dxa"/>
                  <w:tcBorders>
                    <w:top w:val="single" w:color="auto" w:sz="12" w:space="0"/>
                  </w:tcBorders>
                  <w:vAlign w:val="center"/>
                </w:tcPr>
                <w:p>
                  <w:pPr>
                    <w:pStyle w:val="14"/>
                    <w:spacing w:line="240" w:lineRule="auto"/>
                    <w:ind w:firstLine="0" w:firstLineChars="0"/>
                    <w:jc w:val="center"/>
                    <w:rPr>
                      <w:rFonts w:ascii="Times New Roman" w:hAnsi="Times New Roman" w:cs="宋体"/>
                      <w:sz w:val="21"/>
                      <w:szCs w:val="21"/>
                      <w:lang w:bidi="ar"/>
                    </w:rPr>
                  </w:pPr>
                  <w:r>
                    <w:rPr>
                      <w:rFonts w:hint="eastAsia" w:ascii="Times New Roman" w:hAnsi="Times New Roman" w:cs="宋体"/>
                      <w:sz w:val="21"/>
                      <w:szCs w:val="21"/>
                      <w:lang w:bidi="ar"/>
                    </w:rPr>
                    <w:t>0.1</w:t>
                  </w:r>
                </w:p>
              </w:tc>
              <w:tc>
                <w:tcPr>
                  <w:tcW w:w="723" w:type="dxa"/>
                  <w:tcBorders>
                    <w:top w:val="single" w:color="auto" w:sz="12" w:space="0"/>
                    <w:right w:val="nil"/>
                  </w:tcBorders>
                  <w:vAlign w:val="center"/>
                </w:tcPr>
                <w:p>
                  <w:pPr>
                    <w:spacing w:line="240" w:lineRule="auto"/>
                    <w:ind w:firstLine="0" w:firstLineChars="0"/>
                    <w:jc w:val="center"/>
                    <w:rPr>
                      <w:rFonts w:cs="宋体"/>
                      <w:kern w:val="0"/>
                      <w:sz w:val="21"/>
                      <w:szCs w:val="21"/>
                      <w:lang w:bidi="ar"/>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溶解氧</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7</w:t>
                  </w:r>
                  <w:r>
                    <w:rPr>
                      <w:rStyle w:val="41"/>
                      <w:rFonts w:ascii="Times New Roman" w:hAnsi="Times New Roman"/>
                    </w:rPr>
                    <w:t>.4</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2</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T-Se</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.000</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0.02</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Style w:val="41"/>
                      <w:rFonts w:ascii="Times New Roman" w:hAnsi="Times New Roman"/>
                    </w:rPr>
                  </w:pPr>
                  <w:r>
                    <w:rPr>
                      <w:rFonts w:ascii="Times New Roman" w:hAnsi="Times New Roman" w:cs="宋体"/>
                      <w:sz w:val="21"/>
                      <w:szCs w:val="21"/>
                      <w:lang w:bidi="ar"/>
                    </w:rPr>
                    <w:t>COD</w:t>
                  </w:r>
                  <w:r>
                    <w:rPr>
                      <w:rFonts w:ascii="Times New Roman" w:hAnsi="Times New Roman" w:cs="宋体"/>
                      <w:sz w:val="21"/>
                      <w:szCs w:val="21"/>
                      <w:vertAlign w:val="subscript"/>
                      <w:lang w:bidi="ar"/>
                    </w:rPr>
                    <w:t xml:space="preserve"> Mn</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5</w:t>
                  </w:r>
                  <w:r>
                    <w:rPr>
                      <w:rStyle w:val="41"/>
                      <w:rFonts w:ascii="Times New Roman" w:hAnsi="Times New Roman"/>
                    </w:rPr>
                    <w:t>.86</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15</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T-Hg</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.00003</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0.001</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COD</w:t>
                  </w:r>
                  <w:r>
                    <w:rPr>
                      <w:rFonts w:hint="eastAsia" w:ascii="Times New Roman" w:hAnsi="Times New Roman" w:cs="宋体"/>
                      <w:sz w:val="21"/>
                      <w:szCs w:val="21"/>
                      <w:vertAlign w:val="subscript"/>
                      <w:lang w:bidi="ar"/>
                    </w:rPr>
                    <w:t xml:space="preserve"> Cr</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2</w:t>
                  </w:r>
                  <w:r>
                    <w:rPr>
                      <w:rStyle w:val="41"/>
                      <w:rFonts w:ascii="Times New Roman" w:hAnsi="Times New Roman"/>
                    </w:rPr>
                    <w:t>6.6</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40</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Cr</w:t>
                  </w:r>
                  <w:r>
                    <w:rPr>
                      <w:rFonts w:hint="eastAsia" w:ascii="Times New Roman" w:hAnsi="Times New Roman" w:cs="宋体"/>
                      <w:sz w:val="21"/>
                      <w:szCs w:val="21"/>
                      <w:vertAlign w:val="superscript"/>
                      <w:lang w:bidi="ar"/>
                    </w:rPr>
                    <w:t>6+</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.002</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0.1</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NH</w:t>
                  </w:r>
                  <w:r>
                    <w:rPr>
                      <w:rStyle w:val="116"/>
                      <w:b w:val="0"/>
                      <w:bCs w:val="0"/>
                      <w:color w:val="auto"/>
                      <w:sz w:val="21"/>
                      <w:szCs w:val="21"/>
                      <w:lang w:bidi="ar"/>
                    </w:rPr>
                    <w:t>₃</w:t>
                  </w:r>
                  <w:r>
                    <w:rPr>
                      <w:rStyle w:val="117"/>
                      <w:rFonts w:hint="default" w:ascii="Times New Roman" w:hAnsi="Times New Roman"/>
                      <w:b w:val="0"/>
                      <w:bCs w:val="0"/>
                      <w:color w:val="auto"/>
                      <w:sz w:val="21"/>
                      <w:szCs w:val="21"/>
                      <w:lang w:bidi="ar"/>
                    </w:rPr>
                    <w:t>-N</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.53</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2</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F-</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ascii="Times New Roman" w:hAnsi="Times New Roman"/>
                    </w:rPr>
                    <w:t>1.10</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1.5</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T-P</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.107</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sz w:val="21"/>
                      <w:szCs w:val="21"/>
                    </w:rPr>
                    <w:t>0.4</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CN-</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.004</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0.2</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Cu</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.0007</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1</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挥发酚</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.00066</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0.1</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Fonts w:ascii="Times New Roman" w:hAnsi="Times New Roman" w:cs="宋体"/>
                      <w:sz w:val="21"/>
                      <w:szCs w:val="21"/>
                      <w:lang w:bidi="ar"/>
                    </w:rPr>
                  </w:pPr>
                  <w:r>
                    <w:rPr>
                      <w:rFonts w:hint="eastAsia" w:ascii="Times New Roman" w:hAnsi="Times New Roman" w:cs="宋体"/>
                      <w:sz w:val="21"/>
                      <w:szCs w:val="21"/>
                      <w:lang w:bidi="ar"/>
                    </w:rPr>
                    <w:t>Zn</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.025</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2</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石油类</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.03</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1</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Fonts w:ascii="Times New Roman" w:hAnsi="Times New Roman" w:cs="宋体"/>
                      <w:sz w:val="21"/>
                      <w:szCs w:val="21"/>
                      <w:lang w:bidi="ar"/>
                    </w:rPr>
                  </w:pPr>
                  <w:r>
                    <w:rPr>
                      <w:rFonts w:hint="eastAsia" w:ascii="Times New Roman" w:hAnsi="Times New Roman" w:cs="宋体"/>
                      <w:sz w:val="21"/>
                      <w:szCs w:val="21"/>
                      <w:lang w:bidi="ar"/>
                    </w:rPr>
                    <w:t>Pb</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.001</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0.1</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LAS</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.03</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0.3</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tcBorders>
                  <w:vAlign w:val="center"/>
                </w:tcPr>
                <w:p>
                  <w:pPr>
                    <w:pStyle w:val="14"/>
                    <w:spacing w:line="240" w:lineRule="auto"/>
                    <w:ind w:firstLine="0" w:firstLineChars="0"/>
                    <w:jc w:val="center"/>
                    <w:rPr>
                      <w:rFonts w:ascii="Times New Roman" w:hAnsi="Times New Roman" w:cs="宋体"/>
                      <w:sz w:val="21"/>
                      <w:szCs w:val="21"/>
                      <w:lang w:bidi="ar"/>
                    </w:rPr>
                  </w:pPr>
                  <w:r>
                    <w:rPr>
                      <w:rFonts w:hint="eastAsia" w:ascii="Times New Roman" w:hAnsi="Times New Roman" w:cs="宋体"/>
                      <w:sz w:val="21"/>
                      <w:szCs w:val="21"/>
                      <w:lang w:bidi="ar"/>
                    </w:rPr>
                    <w:t>Cd</w:t>
                  </w:r>
                </w:p>
              </w:tc>
              <w:tc>
                <w:tcPr>
                  <w:tcW w:w="1397"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.00005</w:t>
                  </w:r>
                </w:p>
              </w:tc>
              <w:tc>
                <w:tcPr>
                  <w:tcW w:w="951"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0.01</w:t>
                  </w:r>
                </w:p>
              </w:tc>
              <w:tc>
                <w:tcPr>
                  <w:tcW w:w="904" w:type="dxa"/>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vAlign w:val="center"/>
                </w:tcPr>
                <w:p>
                  <w:pPr>
                    <w:pStyle w:val="14"/>
                    <w:spacing w:line="240" w:lineRule="auto"/>
                    <w:ind w:firstLine="0" w:firstLineChars="0"/>
                    <w:jc w:val="center"/>
                    <w:rPr>
                      <w:rFonts w:ascii="Times New Roman" w:hAnsi="Times New Roman"/>
                      <w:sz w:val="21"/>
                    </w:rPr>
                  </w:pPr>
                  <w:r>
                    <w:rPr>
                      <w:rFonts w:hint="eastAsia" w:ascii="Times New Roman" w:hAnsi="Times New Roman" w:cs="宋体"/>
                      <w:sz w:val="21"/>
                      <w:szCs w:val="21"/>
                      <w:lang w:bidi="ar"/>
                    </w:rPr>
                    <w:t>S</w:t>
                  </w:r>
                  <w:r>
                    <w:rPr>
                      <w:rFonts w:hint="eastAsia" w:ascii="Times New Roman" w:hAnsi="Times New Roman" w:cs="宋体"/>
                      <w:sz w:val="21"/>
                      <w:szCs w:val="21"/>
                      <w:vertAlign w:val="superscript"/>
                      <w:lang w:bidi="ar"/>
                    </w:rPr>
                    <w:t>2-</w:t>
                  </w:r>
                </w:p>
              </w:tc>
              <w:tc>
                <w:tcPr>
                  <w:tcW w:w="1111" w:type="dxa"/>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0</w:t>
                  </w:r>
                  <w:r>
                    <w:rPr>
                      <w:rStyle w:val="41"/>
                      <w:rFonts w:ascii="Times New Roman" w:hAnsi="Times New Roman"/>
                    </w:rPr>
                    <w:t>.018</w:t>
                  </w:r>
                </w:p>
              </w:tc>
              <w:tc>
                <w:tcPr>
                  <w:tcW w:w="916" w:type="dxa"/>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1</w:t>
                  </w:r>
                </w:p>
              </w:tc>
              <w:tc>
                <w:tcPr>
                  <w:tcW w:w="723" w:type="dxa"/>
                  <w:tcBorders>
                    <w:right w:val="nil"/>
                  </w:tcBorders>
                  <w:vAlign w:val="center"/>
                </w:tcPr>
                <w:p>
                  <w:pPr>
                    <w:spacing w:line="240" w:lineRule="auto"/>
                    <w:ind w:firstLine="0" w:firstLineChars="0"/>
                    <w:jc w:val="center"/>
                    <w:rPr>
                      <w:rStyle w:val="41"/>
                      <w:kern w:val="0"/>
                      <w:szCs w:val="20"/>
                    </w:rPr>
                  </w:pPr>
                  <w:r>
                    <w:rPr>
                      <w:rStyle w:val="41"/>
                      <w:rFonts w:hint="eastAsia"/>
                      <w:kern w:val="0"/>
                      <w:szCs w:val="2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079" w:type="dxa"/>
                  <w:tcBorders>
                    <w:left w:val="nil"/>
                    <w:bottom w:val="single" w:color="auto" w:sz="12" w:space="0"/>
                  </w:tcBorders>
                  <w:vAlign w:val="center"/>
                </w:tcPr>
                <w:p>
                  <w:pPr>
                    <w:pStyle w:val="14"/>
                    <w:spacing w:line="240" w:lineRule="auto"/>
                    <w:ind w:firstLine="0" w:firstLineChars="0"/>
                    <w:jc w:val="center"/>
                    <w:rPr>
                      <w:rFonts w:ascii="Times New Roman" w:hAnsi="Times New Roman" w:cs="宋体"/>
                      <w:sz w:val="21"/>
                      <w:szCs w:val="21"/>
                      <w:lang w:bidi="ar"/>
                    </w:rPr>
                  </w:pPr>
                  <w:r>
                    <w:rPr>
                      <w:rFonts w:hint="eastAsia" w:ascii="Times New Roman" w:hAnsi="Times New Roman" w:cs="宋体"/>
                      <w:sz w:val="21"/>
                      <w:szCs w:val="21"/>
                      <w:lang w:bidi="ar"/>
                    </w:rPr>
                    <w:t>BOD</w:t>
                  </w:r>
                  <w:r>
                    <w:rPr>
                      <w:rFonts w:hint="eastAsia" w:ascii="Times New Roman" w:hAnsi="Times New Roman" w:cs="宋体"/>
                      <w:sz w:val="21"/>
                      <w:szCs w:val="21"/>
                      <w:vertAlign w:val="subscript"/>
                      <w:lang w:bidi="ar"/>
                    </w:rPr>
                    <w:t>5</w:t>
                  </w:r>
                </w:p>
              </w:tc>
              <w:tc>
                <w:tcPr>
                  <w:tcW w:w="1397" w:type="dxa"/>
                  <w:tcBorders>
                    <w:bottom w:val="single" w:color="auto" w:sz="12" w:space="0"/>
                  </w:tcBorders>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3</w:t>
                  </w:r>
                  <w:r>
                    <w:rPr>
                      <w:rStyle w:val="41"/>
                      <w:rFonts w:ascii="Times New Roman" w:hAnsi="Times New Roman"/>
                    </w:rPr>
                    <w:t>.84</w:t>
                  </w:r>
                </w:p>
              </w:tc>
              <w:tc>
                <w:tcPr>
                  <w:tcW w:w="951" w:type="dxa"/>
                  <w:tcBorders>
                    <w:bottom w:val="single" w:color="auto" w:sz="12" w:space="0"/>
                  </w:tcBorders>
                  <w:vAlign w:val="center"/>
                </w:tcPr>
                <w:p>
                  <w:pPr>
                    <w:pStyle w:val="14"/>
                    <w:spacing w:line="240" w:lineRule="auto"/>
                    <w:ind w:firstLine="0" w:firstLineChars="0"/>
                    <w:jc w:val="center"/>
                    <w:rPr>
                      <w:rStyle w:val="41"/>
                      <w:rFonts w:ascii="Times New Roman" w:hAnsi="Times New Roman"/>
                    </w:rPr>
                  </w:pPr>
                  <w:r>
                    <w:rPr>
                      <w:rFonts w:hint="eastAsia" w:ascii="Times New Roman" w:hAnsi="Times New Roman" w:cs="宋体"/>
                      <w:sz w:val="21"/>
                      <w:szCs w:val="21"/>
                      <w:lang w:bidi="ar"/>
                    </w:rPr>
                    <w:t>10</w:t>
                  </w:r>
                </w:p>
              </w:tc>
              <w:tc>
                <w:tcPr>
                  <w:tcW w:w="904" w:type="dxa"/>
                  <w:tcBorders>
                    <w:bottom w:val="single" w:color="auto" w:sz="12" w:space="0"/>
                  </w:tcBorders>
                  <w:vAlign w:val="center"/>
                </w:tcPr>
                <w:p>
                  <w:pPr>
                    <w:spacing w:line="240" w:lineRule="auto"/>
                    <w:ind w:firstLine="0" w:firstLineChars="0"/>
                    <w:jc w:val="center"/>
                    <w:rPr>
                      <w:rStyle w:val="41"/>
                      <w:kern w:val="0"/>
                      <w:szCs w:val="20"/>
                    </w:rPr>
                  </w:pPr>
                  <w:r>
                    <w:rPr>
                      <w:rStyle w:val="41"/>
                      <w:rFonts w:hint="eastAsia"/>
                      <w:kern w:val="0"/>
                      <w:szCs w:val="20"/>
                    </w:rPr>
                    <w:t>达标</w:t>
                  </w:r>
                </w:p>
              </w:tc>
              <w:tc>
                <w:tcPr>
                  <w:tcW w:w="893" w:type="dxa"/>
                  <w:tcBorders>
                    <w:bottom w:val="single" w:color="auto" w:sz="12" w:space="0"/>
                  </w:tcBorders>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w:t>
                  </w:r>
                </w:p>
              </w:tc>
              <w:tc>
                <w:tcPr>
                  <w:tcW w:w="1111" w:type="dxa"/>
                  <w:tcBorders>
                    <w:bottom w:val="single" w:color="auto" w:sz="12" w:space="0"/>
                  </w:tcBorders>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w:t>
                  </w:r>
                </w:p>
              </w:tc>
              <w:tc>
                <w:tcPr>
                  <w:tcW w:w="916" w:type="dxa"/>
                  <w:tcBorders>
                    <w:bottom w:val="single" w:color="auto" w:sz="12" w:space="0"/>
                  </w:tcBorders>
                  <w:vAlign w:val="center"/>
                </w:tcPr>
                <w:p>
                  <w:pPr>
                    <w:pStyle w:val="14"/>
                    <w:spacing w:line="240" w:lineRule="auto"/>
                    <w:ind w:firstLine="0" w:firstLineChars="0"/>
                    <w:jc w:val="center"/>
                    <w:rPr>
                      <w:rStyle w:val="41"/>
                      <w:rFonts w:ascii="Times New Roman" w:hAnsi="Times New Roman"/>
                    </w:rPr>
                  </w:pPr>
                  <w:r>
                    <w:rPr>
                      <w:rStyle w:val="41"/>
                      <w:rFonts w:hint="eastAsia" w:ascii="Times New Roman" w:hAnsi="Times New Roman"/>
                    </w:rPr>
                    <w:t>/</w:t>
                  </w:r>
                </w:p>
              </w:tc>
              <w:tc>
                <w:tcPr>
                  <w:tcW w:w="723" w:type="dxa"/>
                  <w:tcBorders>
                    <w:bottom w:val="single" w:color="auto" w:sz="12" w:space="0"/>
                    <w:right w:val="nil"/>
                  </w:tcBorders>
                  <w:vAlign w:val="center"/>
                </w:tcPr>
                <w:p>
                  <w:pPr>
                    <w:spacing w:line="240" w:lineRule="auto"/>
                    <w:ind w:firstLine="0" w:firstLineChars="0"/>
                    <w:jc w:val="center"/>
                    <w:rPr>
                      <w:rStyle w:val="41"/>
                      <w:kern w:val="0"/>
                      <w:szCs w:val="20"/>
                    </w:rPr>
                  </w:pPr>
                  <w:r>
                    <w:rPr>
                      <w:rStyle w:val="41"/>
                      <w:rFonts w:hint="eastAsia"/>
                      <w:kern w:val="0"/>
                      <w:szCs w:val="20"/>
                    </w:rPr>
                    <w:t>/</w:t>
                  </w:r>
                </w:p>
              </w:tc>
            </w:tr>
          </w:tbl>
          <w:p>
            <w:pPr>
              <w:pStyle w:val="4"/>
            </w:pPr>
            <w:r>
              <w:rPr>
                <w:rFonts w:hint="eastAsia"/>
              </w:rPr>
              <w:t>3.</w:t>
            </w:r>
            <w:r>
              <w:t>3</w:t>
            </w:r>
            <w:r>
              <w:rPr>
                <w:rFonts w:hint="eastAsia"/>
              </w:rPr>
              <w:t>声环境质量现状</w:t>
            </w:r>
          </w:p>
          <w:p>
            <w:pPr>
              <w:ind w:firstLine="480"/>
            </w:pPr>
            <w:r>
              <w:rPr>
                <w:rFonts w:hint="eastAsia"/>
              </w:rPr>
              <w:t>项目距离最近的声环境保护目标为西北20m处的新郭行村。新郭行村属于1类声环境功能区，执行《声环境质量标准》（GB3096-2008）1类标准：昼55dB（A），夜45dB（A）；项目所在区域属于2类声环境功能区，执行《声环境质量标准》（GB3096-2008）2类标准：昼60dB（A），夜50dB（A）</w:t>
            </w:r>
          </w:p>
          <w:p>
            <w:pPr>
              <w:pStyle w:val="42"/>
              <w:ind w:firstLine="480"/>
              <w:rPr>
                <w:color w:val="auto"/>
              </w:rPr>
            </w:pPr>
            <w:r>
              <w:rPr>
                <w:rFonts w:hint="eastAsia"/>
                <w:color w:val="auto"/>
              </w:rPr>
              <w:t>本项目租用盛泰源西北侧5</w:t>
            </w:r>
            <w:r>
              <w:rPr>
                <w:color w:val="auto"/>
              </w:rPr>
              <w:t>0</w:t>
            </w:r>
            <w:r>
              <w:rPr>
                <w:rFonts w:hint="eastAsia"/>
                <w:color w:val="auto"/>
              </w:rPr>
              <w:t>亩场地，盛泰源则是租用东方恒略西侧1</w:t>
            </w:r>
            <w:r>
              <w:rPr>
                <w:color w:val="auto"/>
              </w:rPr>
              <w:t>64</w:t>
            </w:r>
            <w:r>
              <w:rPr>
                <w:rFonts w:hint="eastAsia"/>
                <w:color w:val="auto"/>
              </w:rPr>
              <w:t>亩场地。本项目属于厂中厂，为了解区域声环境质量现状，本次评价委托山西华涵净环境检测有限公司于2022年10月8日对东方恒略厂界四周和新郭行村声环境质量进行了监测，监测结果见表3-4，噪声监测布点见图3-2。</w:t>
            </w:r>
          </w:p>
          <w:p>
            <w:pPr>
              <w:spacing w:line="240" w:lineRule="auto"/>
              <w:ind w:firstLine="0" w:firstLineChars="0"/>
              <w:jc w:val="center"/>
              <w:rPr>
                <w:rFonts w:cs="Times New Roman"/>
                <w:b/>
                <w:bCs/>
                <w:sz w:val="21"/>
                <w:szCs w:val="24"/>
              </w:rPr>
            </w:pPr>
            <w:r>
              <w:rPr>
                <w:rFonts w:hint="eastAsia" w:cs="Times New Roman"/>
                <w:b/>
                <w:bCs/>
                <w:sz w:val="21"/>
                <w:szCs w:val="24"/>
              </w:rPr>
              <w:t>表3-4  噪声监测结果</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57" w:type="dxa"/>
                <w:left w:w="108" w:type="dxa"/>
                <w:bottom w:w="57" w:type="dxa"/>
                <w:right w:w="108" w:type="dxa"/>
              </w:tblCellMar>
            </w:tblPr>
            <w:tblGrid>
              <w:gridCol w:w="715"/>
              <w:gridCol w:w="723"/>
              <w:gridCol w:w="636"/>
              <w:gridCol w:w="706"/>
              <w:gridCol w:w="726"/>
              <w:gridCol w:w="662"/>
              <w:gridCol w:w="732"/>
              <w:gridCol w:w="781"/>
              <w:gridCol w:w="694"/>
              <w:gridCol w:w="806"/>
              <w:gridCol w:w="7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49" w:hRule="exact"/>
                <w:jc w:val="center"/>
              </w:trPr>
              <w:tc>
                <w:tcPr>
                  <w:tcW w:w="716" w:type="dxa"/>
                  <w:vMerge w:val="restart"/>
                  <w:tcBorders>
                    <w:top w:val="single" w:color="auto" w:sz="12" w:space="0"/>
                    <w:left w:val="nil"/>
                    <w:bottom w:val="single" w:color="auto" w:sz="4"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测点号</w:t>
                  </w:r>
                </w:p>
              </w:tc>
              <w:tc>
                <w:tcPr>
                  <w:tcW w:w="724" w:type="dxa"/>
                  <w:vMerge w:val="restart"/>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测量</w:t>
                  </w:r>
                </w:p>
                <w:p>
                  <w:pPr>
                    <w:autoSpaceDE w:val="0"/>
                    <w:spacing w:line="240" w:lineRule="auto"/>
                    <w:ind w:firstLine="0" w:firstLineChars="0"/>
                    <w:jc w:val="center"/>
                    <w:rPr>
                      <w:rFonts w:cs="Times New Roman"/>
                      <w:b/>
                      <w:bCs/>
                      <w:sz w:val="21"/>
                      <w:szCs w:val="24"/>
                    </w:rPr>
                  </w:pPr>
                  <w:r>
                    <w:rPr>
                      <w:rFonts w:cs="Times New Roman"/>
                      <w:b/>
                      <w:bCs/>
                      <w:sz w:val="21"/>
                      <w:szCs w:val="24"/>
                    </w:rPr>
                    <w:t>点位</w:t>
                  </w:r>
                </w:p>
              </w:tc>
              <w:tc>
                <w:tcPr>
                  <w:tcW w:w="636" w:type="dxa"/>
                  <w:vMerge w:val="restart"/>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hint="eastAsia" w:cs="Times New Roman"/>
                      <w:b/>
                      <w:bCs/>
                      <w:sz w:val="21"/>
                      <w:szCs w:val="24"/>
                    </w:rPr>
                    <w:t>方位</w:t>
                  </w:r>
                </w:p>
              </w:tc>
              <w:tc>
                <w:tcPr>
                  <w:tcW w:w="2826" w:type="dxa"/>
                  <w:gridSpan w:val="4"/>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hint="eastAsia" w:cs="Times New Roman"/>
                      <w:b/>
                      <w:bCs/>
                      <w:sz w:val="21"/>
                      <w:szCs w:val="24"/>
                    </w:rPr>
                    <w:t>昼间dB（A）</w:t>
                  </w:r>
                </w:p>
              </w:tc>
              <w:tc>
                <w:tcPr>
                  <w:tcW w:w="3074" w:type="dxa"/>
                  <w:gridSpan w:val="4"/>
                  <w:tcBorders>
                    <w:top w:val="single" w:color="auto" w:sz="12" w:space="0"/>
                    <w:left w:val="single" w:color="auto" w:sz="4" w:space="0"/>
                    <w:bottom w:val="single" w:color="auto" w:sz="4" w:space="0"/>
                    <w:right w:val="nil"/>
                  </w:tcBorders>
                  <w:vAlign w:val="center"/>
                </w:tcPr>
                <w:p>
                  <w:pPr>
                    <w:autoSpaceDE w:val="0"/>
                    <w:spacing w:line="240" w:lineRule="auto"/>
                    <w:ind w:firstLine="0" w:firstLineChars="0"/>
                    <w:jc w:val="center"/>
                    <w:rPr>
                      <w:rFonts w:cs="Times New Roman"/>
                      <w:b/>
                      <w:bCs/>
                      <w:sz w:val="21"/>
                      <w:szCs w:val="24"/>
                    </w:rPr>
                  </w:pPr>
                  <w:r>
                    <w:rPr>
                      <w:rFonts w:hint="eastAsia" w:cs="Times New Roman"/>
                      <w:b/>
                      <w:bCs/>
                      <w:sz w:val="21"/>
                      <w:szCs w:val="24"/>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49" w:hRule="exact"/>
                <w:jc w:val="center"/>
              </w:trPr>
              <w:tc>
                <w:tcPr>
                  <w:tcW w:w="716" w:type="dxa"/>
                  <w:vMerge w:val="continue"/>
                  <w:tcBorders>
                    <w:top w:val="single" w:color="auto" w:sz="12" w:space="0"/>
                    <w:left w:val="nil"/>
                    <w:bottom w:val="single" w:color="auto" w:sz="4" w:space="0"/>
                    <w:right w:val="single" w:color="auto" w:sz="4" w:space="0"/>
                  </w:tcBorders>
                  <w:vAlign w:val="center"/>
                </w:tcPr>
                <w:p>
                  <w:pPr>
                    <w:widowControl/>
                    <w:spacing w:line="240" w:lineRule="auto"/>
                    <w:ind w:firstLine="0" w:firstLineChars="0"/>
                    <w:jc w:val="center"/>
                    <w:rPr>
                      <w:rFonts w:cs="Times New Roman"/>
                      <w:b/>
                      <w:bCs/>
                      <w:sz w:val="21"/>
                      <w:szCs w:val="24"/>
                    </w:rPr>
                  </w:pPr>
                </w:p>
              </w:tc>
              <w:tc>
                <w:tcPr>
                  <w:tcW w:w="724" w:type="dxa"/>
                  <w:vMerge w:val="continue"/>
                  <w:tcBorders>
                    <w:top w:val="single" w:color="auto" w:sz="12"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bCs/>
                      <w:sz w:val="21"/>
                      <w:szCs w:val="24"/>
                    </w:rPr>
                  </w:pPr>
                </w:p>
              </w:tc>
              <w:tc>
                <w:tcPr>
                  <w:tcW w:w="636" w:type="dxa"/>
                  <w:vMerge w:val="continue"/>
                  <w:tcBorders>
                    <w:top w:val="single" w:color="auto" w:sz="12"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cs="Times New Roman"/>
                      <w:b/>
                      <w:bCs/>
                      <w:sz w:val="21"/>
                      <w:szCs w:val="24"/>
                    </w:rPr>
                  </w:pPr>
                </w:p>
              </w:tc>
              <w:tc>
                <w:tcPr>
                  <w:tcW w:w="706"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L</w:t>
                  </w:r>
                  <w:r>
                    <w:rPr>
                      <w:rFonts w:cs="Times New Roman"/>
                      <w:b/>
                      <w:bCs/>
                      <w:sz w:val="21"/>
                      <w:szCs w:val="24"/>
                      <w:vertAlign w:val="subscript"/>
                    </w:rPr>
                    <w:t>10</w:t>
                  </w:r>
                </w:p>
              </w:tc>
              <w:tc>
                <w:tcPr>
                  <w:tcW w:w="726"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L</w:t>
                  </w:r>
                  <w:r>
                    <w:rPr>
                      <w:rFonts w:cs="Times New Roman"/>
                      <w:b/>
                      <w:bCs/>
                      <w:sz w:val="21"/>
                      <w:szCs w:val="24"/>
                      <w:vertAlign w:val="subscript"/>
                    </w:rPr>
                    <w:t>50</w:t>
                  </w:r>
                </w:p>
              </w:tc>
              <w:tc>
                <w:tcPr>
                  <w:tcW w:w="662"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L</w:t>
                  </w:r>
                  <w:r>
                    <w:rPr>
                      <w:rFonts w:cs="Times New Roman"/>
                      <w:b/>
                      <w:bCs/>
                      <w:sz w:val="21"/>
                      <w:szCs w:val="24"/>
                      <w:vertAlign w:val="subscript"/>
                    </w:rPr>
                    <w:t>90</w:t>
                  </w:r>
                </w:p>
              </w:tc>
              <w:tc>
                <w:tcPr>
                  <w:tcW w:w="732"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L</w:t>
                  </w:r>
                  <w:r>
                    <w:rPr>
                      <w:rFonts w:cs="Times New Roman"/>
                      <w:b/>
                      <w:bCs/>
                      <w:sz w:val="21"/>
                      <w:szCs w:val="24"/>
                      <w:vertAlign w:val="subscript"/>
                    </w:rPr>
                    <w:t>eq</w:t>
                  </w:r>
                </w:p>
              </w:tc>
              <w:tc>
                <w:tcPr>
                  <w:tcW w:w="781"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L</w:t>
                  </w:r>
                  <w:r>
                    <w:rPr>
                      <w:rFonts w:cs="Times New Roman"/>
                      <w:b/>
                      <w:bCs/>
                      <w:sz w:val="21"/>
                      <w:szCs w:val="24"/>
                      <w:vertAlign w:val="subscript"/>
                    </w:rPr>
                    <w:t>10</w:t>
                  </w:r>
                </w:p>
              </w:tc>
              <w:tc>
                <w:tcPr>
                  <w:tcW w:w="694"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L</w:t>
                  </w:r>
                  <w:r>
                    <w:rPr>
                      <w:rFonts w:cs="Times New Roman"/>
                      <w:b/>
                      <w:bCs/>
                      <w:sz w:val="21"/>
                      <w:szCs w:val="24"/>
                      <w:vertAlign w:val="subscript"/>
                    </w:rPr>
                    <w:t>50</w:t>
                  </w:r>
                </w:p>
              </w:tc>
              <w:tc>
                <w:tcPr>
                  <w:tcW w:w="806"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L</w:t>
                  </w:r>
                  <w:r>
                    <w:rPr>
                      <w:rFonts w:cs="Times New Roman"/>
                      <w:b/>
                      <w:bCs/>
                      <w:sz w:val="21"/>
                      <w:szCs w:val="24"/>
                      <w:vertAlign w:val="subscript"/>
                    </w:rPr>
                    <w:t>90</w:t>
                  </w:r>
                </w:p>
              </w:tc>
              <w:tc>
                <w:tcPr>
                  <w:tcW w:w="793" w:type="dxa"/>
                  <w:tcBorders>
                    <w:top w:val="single" w:color="auto" w:sz="4" w:space="0"/>
                    <w:left w:val="single" w:color="auto" w:sz="4" w:space="0"/>
                    <w:bottom w:val="single" w:color="auto" w:sz="12" w:space="0"/>
                    <w:right w:val="nil"/>
                  </w:tcBorders>
                  <w:vAlign w:val="center"/>
                </w:tcPr>
                <w:p>
                  <w:pPr>
                    <w:autoSpaceDE w:val="0"/>
                    <w:spacing w:line="240" w:lineRule="auto"/>
                    <w:ind w:firstLine="0" w:firstLineChars="0"/>
                    <w:jc w:val="center"/>
                    <w:rPr>
                      <w:rFonts w:cs="Times New Roman"/>
                      <w:b/>
                      <w:bCs/>
                      <w:sz w:val="21"/>
                      <w:szCs w:val="24"/>
                    </w:rPr>
                  </w:pPr>
                  <w:r>
                    <w:rPr>
                      <w:rFonts w:cs="Times New Roman"/>
                      <w:b/>
                      <w:bCs/>
                      <w:sz w:val="21"/>
                      <w:szCs w:val="24"/>
                    </w:rPr>
                    <w:t>L</w:t>
                  </w:r>
                  <w:r>
                    <w:rPr>
                      <w:rFonts w:cs="Times New Roman"/>
                      <w:b/>
                      <w:bCs/>
                      <w:sz w:val="21"/>
                      <w:szCs w:val="24"/>
                      <w:vertAlign w:val="subscript"/>
                    </w:rPr>
                    <w:t>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49" w:hRule="exact"/>
                <w:jc w:val="center"/>
              </w:trPr>
              <w:tc>
                <w:tcPr>
                  <w:tcW w:w="716" w:type="dxa"/>
                  <w:tcBorders>
                    <w:top w:val="single" w:color="auto" w:sz="12" w:space="0"/>
                    <w:left w:val="nil"/>
                    <w:bottom w:val="single" w:color="auto" w:sz="4" w:space="0"/>
                    <w:right w:val="single" w:color="auto" w:sz="4" w:space="0"/>
                  </w:tcBorders>
                  <w:vAlign w:val="center"/>
                </w:tcPr>
                <w:p>
                  <w:pPr>
                    <w:autoSpaceDE w:val="0"/>
                    <w:spacing w:line="240" w:lineRule="auto"/>
                    <w:ind w:firstLine="0" w:firstLineChars="0"/>
                    <w:jc w:val="center"/>
                    <w:rPr>
                      <w:rFonts w:cs="Times New Roman"/>
                      <w:sz w:val="21"/>
                      <w:szCs w:val="24"/>
                    </w:rPr>
                  </w:pPr>
                  <w:r>
                    <w:rPr>
                      <w:rFonts w:cs="Times New Roman"/>
                      <w:sz w:val="21"/>
                      <w:szCs w:val="24"/>
                    </w:rPr>
                    <w:t>1#</w:t>
                  </w:r>
                </w:p>
              </w:tc>
              <w:tc>
                <w:tcPr>
                  <w:tcW w:w="724" w:type="dxa"/>
                  <w:tcBorders>
                    <w:top w:val="single" w:color="auto" w:sz="12"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rFonts w:cs="Times New Roman"/>
                      <w:sz w:val="21"/>
                      <w:szCs w:val="24"/>
                    </w:rPr>
                  </w:pPr>
                  <w:r>
                    <w:rPr>
                      <w:rFonts w:hint="eastAsia" w:cs="Times New Roman"/>
                      <w:sz w:val="21"/>
                      <w:szCs w:val="24"/>
                    </w:rPr>
                    <w:t>厂界</w:t>
                  </w:r>
                </w:p>
              </w:tc>
              <w:tc>
                <w:tcPr>
                  <w:tcW w:w="636"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bCs/>
                      <w:sz w:val="21"/>
                      <w:szCs w:val="21"/>
                    </w:rPr>
                    <w:t>西北</w:t>
                  </w:r>
                </w:p>
              </w:tc>
              <w:tc>
                <w:tcPr>
                  <w:tcW w:w="706"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54.4</w:t>
                  </w:r>
                </w:p>
              </w:tc>
              <w:tc>
                <w:tcPr>
                  <w:tcW w:w="726"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52.8</w:t>
                  </w:r>
                </w:p>
              </w:tc>
              <w:tc>
                <w:tcPr>
                  <w:tcW w:w="662"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50.6</w:t>
                  </w:r>
                </w:p>
              </w:tc>
              <w:tc>
                <w:tcPr>
                  <w:tcW w:w="732"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53.4</w:t>
                  </w:r>
                </w:p>
              </w:tc>
              <w:tc>
                <w:tcPr>
                  <w:tcW w:w="781"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46.2</w:t>
                  </w:r>
                </w:p>
              </w:tc>
              <w:tc>
                <w:tcPr>
                  <w:tcW w:w="694"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45.6</w:t>
                  </w:r>
                </w:p>
              </w:tc>
              <w:tc>
                <w:tcPr>
                  <w:tcW w:w="806"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43.8</w:t>
                  </w:r>
                </w:p>
              </w:tc>
              <w:tc>
                <w:tcPr>
                  <w:tcW w:w="793" w:type="dxa"/>
                  <w:tcBorders>
                    <w:top w:val="single" w:color="auto" w:sz="12" w:space="0"/>
                    <w:left w:val="single" w:color="auto" w:sz="4" w:space="0"/>
                    <w:bottom w:val="single" w:color="auto" w:sz="4" w:space="0"/>
                    <w:right w:val="nil"/>
                  </w:tcBorders>
                  <w:vAlign w:val="center"/>
                </w:tcPr>
                <w:p>
                  <w:pPr>
                    <w:spacing w:line="240" w:lineRule="auto"/>
                    <w:ind w:firstLine="0" w:firstLineChars="0"/>
                    <w:jc w:val="center"/>
                    <w:rPr>
                      <w:rFonts w:cs="Times New Roman"/>
                      <w:sz w:val="21"/>
                      <w:szCs w:val="24"/>
                    </w:rPr>
                  </w:pPr>
                  <w:r>
                    <w:rPr>
                      <w:rFonts w:hint="eastAsia" w:cs="Times New Roman"/>
                      <w:sz w:val="21"/>
                      <w:szCs w:val="21"/>
                    </w:rPr>
                    <w:t>45.7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49" w:hRule="exact"/>
                <w:jc w:val="center"/>
              </w:trPr>
              <w:tc>
                <w:tcPr>
                  <w:tcW w:w="716" w:type="dxa"/>
                  <w:tcBorders>
                    <w:top w:val="single" w:color="auto" w:sz="4" w:space="0"/>
                    <w:left w:val="nil"/>
                    <w:bottom w:val="single" w:color="auto" w:sz="4" w:space="0"/>
                    <w:right w:val="single" w:color="auto" w:sz="4" w:space="0"/>
                  </w:tcBorders>
                  <w:vAlign w:val="center"/>
                </w:tcPr>
                <w:p>
                  <w:pPr>
                    <w:autoSpaceDE w:val="0"/>
                    <w:spacing w:line="240" w:lineRule="auto"/>
                    <w:ind w:firstLine="0" w:firstLineChars="0"/>
                    <w:jc w:val="center"/>
                    <w:rPr>
                      <w:rFonts w:cs="Times New Roman"/>
                      <w:sz w:val="21"/>
                      <w:szCs w:val="24"/>
                    </w:rPr>
                  </w:pPr>
                  <w:r>
                    <w:rPr>
                      <w:rFonts w:cs="Times New Roman"/>
                      <w:sz w:val="21"/>
                      <w:szCs w:val="24"/>
                    </w:rPr>
                    <w:t>2#</w:t>
                  </w:r>
                </w:p>
              </w:tc>
              <w:tc>
                <w:tcPr>
                  <w:tcW w:w="724" w:type="dxa"/>
                  <w:tcBorders>
                    <w:top w:val="single" w:color="auto" w:sz="4"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rFonts w:cs="Times New Roman"/>
                      <w:sz w:val="21"/>
                      <w:szCs w:val="24"/>
                    </w:rPr>
                  </w:pPr>
                  <w:r>
                    <w:rPr>
                      <w:rFonts w:hint="eastAsia" w:cs="Times New Roman"/>
                      <w:sz w:val="21"/>
                      <w:szCs w:val="24"/>
                    </w:rPr>
                    <w:t>厂界</w:t>
                  </w:r>
                </w:p>
              </w:tc>
              <w:tc>
                <w:tcPr>
                  <w:tcW w:w="63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bCs/>
                      <w:sz w:val="21"/>
                      <w:szCs w:val="21"/>
                    </w:rPr>
                    <w:t>西南</w:t>
                  </w:r>
                </w:p>
              </w:tc>
              <w:tc>
                <w:tcPr>
                  <w:tcW w:w="70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53.8</w:t>
                  </w:r>
                </w:p>
              </w:tc>
              <w:tc>
                <w:tcPr>
                  <w:tcW w:w="72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52.0</w:t>
                  </w:r>
                </w:p>
              </w:tc>
              <w:tc>
                <w:tcPr>
                  <w:tcW w:w="66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49.8</w:t>
                  </w:r>
                </w:p>
              </w:tc>
              <w:tc>
                <w:tcPr>
                  <w:tcW w:w="73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52.2</w:t>
                  </w:r>
                </w:p>
              </w:tc>
              <w:tc>
                <w:tcPr>
                  <w:tcW w:w="7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45.4</w:t>
                  </w:r>
                </w:p>
              </w:tc>
              <w:tc>
                <w:tcPr>
                  <w:tcW w:w="69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45.0</w:t>
                  </w:r>
                </w:p>
              </w:tc>
              <w:tc>
                <w:tcPr>
                  <w:tcW w:w="80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43.4</w:t>
                  </w:r>
                </w:p>
              </w:tc>
              <w:tc>
                <w:tcPr>
                  <w:tcW w:w="793"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rFonts w:cs="Times New Roman"/>
                      <w:sz w:val="21"/>
                      <w:szCs w:val="24"/>
                    </w:rPr>
                  </w:pPr>
                  <w:r>
                    <w:rPr>
                      <w:rFonts w:hint="eastAsia" w:cs="Times New Roman"/>
                      <w:sz w:val="21"/>
                      <w:szCs w:val="21"/>
                    </w:rPr>
                    <w:t>45.1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49" w:hRule="exact"/>
                <w:jc w:val="center"/>
              </w:trPr>
              <w:tc>
                <w:tcPr>
                  <w:tcW w:w="716" w:type="dxa"/>
                  <w:tcBorders>
                    <w:top w:val="single" w:color="auto" w:sz="4" w:space="0"/>
                    <w:left w:val="nil"/>
                    <w:bottom w:val="single" w:color="auto" w:sz="4" w:space="0"/>
                    <w:right w:val="single" w:color="auto" w:sz="4" w:space="0"/>
                  </w:tcBorders>
                  <w:vAlign w:val="center"/>
                </w:tcPr>
                <w:p>
                  <w:pPr>
                    <w:autoSpaceDE w:val="0"/>
                    <w:spacing w:line="240" w:lineRule="auto"/>
                    <w:ind w:firstLine="0" w:firstLineChars="0"/>
                    <w:jc w:val="center"/>
                    <w:rPr>
                      <w:rFonts w:cs="Times New Roman"/>
                      <w:sz w:val="21"/>
                      <w:szCs w:val="24"/>
                    </w:rPr>
                  </w:pPr>
                  <w:r>
                    <w:rPr>
                      <w:rFonts w:cs="Times New Roman"/>
                      <w:sz w:val="21"/>
                      <w:szCs w:val="24"/>
                    </w:rPr>
                    <w:t>3#</w:t>
                  </w:r>
                </w:p>
              </w:tc>
              <w:tc>
                <w:tcPr>
                  <w:tcW w:w="724" w:type="dxa"/>
                  <w:tcBorders>
                    <w:top w:val="single" w:color="auto" w:sz="4"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rFonts w:cs="Times New Roman"/>
                      <w:sz w:val="21"/>
                      <w:szCs w:val="24"/>
                    </w:rPr>
                  </w:pPr>
                  <w:r>
                    <w:rPr>
                      <w:rFonts w:hint="eastAsia" w:cs="Times New Roman"/>
                      <w:sz w:val="21"/>
                      <w:szCs w:val="24"/>
                    </w:rPr>
                    <w:t>厂界</w:t>
                  </w:r>
                </w:p>
              </w:tc>
              <w:tc>
                <w:tcPr>
                  <w:tcW w:w="63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bCs/>
                      <w:sz w:val="21"/>
                      <w:szCs w:val="21"/>
                    </w:rPr>
                    <w:t>东南</w:t>
                  </w:r>
                </w:p>
              </w:tc>
              <w:tc>
                <w:tcPr>
                  <w:tcW w:w="70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54.8</w:t>
                  </w:r>
                </w:p>
              </w:tc>
              <w:tc>
                <w:tcPr>
                  <w:tcW w:w="72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52.2</w:t>
                  </w:r>
                </w:p>
              </w:tc>
              <w:tc>
                <w:tcPr>
                  <w:tcW w:w="66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50.2</w:t>
                  </w:r>
                </w:p>
              </w:tc>
              <w:tc>
                <w:tcPr>
                  <w:tcW w:w="73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52.6</w:t>
                  </w:r>
                </w:p>
              </w:tc>
              <w:tc>
                <w:tcPr>
                  <w:tcW w:w="7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45.8</w:t>
                  </w:r>
                </w:p>
              </w:tc>
              <w:tc>
                <w:tcPr>
                  <w:tcW w:w="69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43.8</w:t>
                  </w:r>
                </w:p>
              </w:tc>
              <w:tc>
                <w:tcPr>
                  <w:tcW w:w="80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42.2</w:t>
                  </w:r>
                </w:p>
              </w:tc>
              <w:tc>
                <w:tcPr>
                  <w:tcW w:w="793"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rFonts w:cs="Times New Roman"/>
                      <w:sz w:val="21"/>
                      <w:szCs w:val="24"/>
                    </w:rPr>
                  </w:pPr>
                  <w:r>
                    <w:rPr>
                      <w:rFonts w:hint="eastAsia" w:cs="Times New Roman"/>
                      <w:sz w:val="21"/>
                      <w:szCs w:val="21"/>
                    </w:rPr>
                    <w:t>44.6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249" w:hRule="exact"/>
                <w:jc w:val="center"/>
              </w:trPr>
              <w:tc>
                <w:tcPr>
                  <w:tcW w:w="716" w:type="dxa"/>
                  <w:tcBorders>
                    <w:top w:val="single" w:color="auto" w:sz="4" w:space="0"/>
                    <w:left w:val="nil"/>
                    <w:bottom w:val="single" w:color="auto" w:sz="4" w:space="0"/>
                    <w:right w:val="single" w:color="auto" w:sz="4" w:space="0"/>
                  </w:tcBorders>
                  <w:vAlign w:val="center"/>
                </w:tcPr>
                <w:p>
                  <w:pPr>
                    <w:autoSpaceDE w:val="0"/>
                    <w:spacing w:line="240" w:lineRule="auto"/>
                    <w:ind w:firstLine="0" w:firstLineChars="0"/>
                    <w:jc w:val="center"/>
                    <w:rPr>
                      <w:rFonts w:cs="Times New Roman"/>
                      <w:sz w:val="21"/>
                      <w:szCs w:val="24"/>
                    </w:rPr>
                  </w:pPr>
                  <w:r>
                    <w:rPr>
                      <w:rFonts w:cs="Times New Roman"/>
                      <w:sz w:val="21"/>
                      <w:szCs w:val="24"/>
                    </w:rPr>
                    <w:t>4#</w:t>
                  </w:r>
                </w:p>
              </w:tc>
              <w:tc>
                <w:tcPr>
                  <w:tcW w:w="724" w:type="dxa"/>
                  <w:tcBorders>
                    <w:top w:val="single" w:color="auto" w:sz="4" w:space="0"/>
                    <w:left w:val="single" w:color="auto" w:sz="4" w:space="0"/>
                    <w:bottom w:val="single" w:color="auto" w:sz="4" w:space="0"/>
                    <w:right w:val="single" w:color="auto" w:sz="4" w:space="0"/>
                  </w:tcBorders>
                  <w:vAlign w:val="center"/>
                </w:tcPr>
                <w:p>
                  <w:pPr>
                    <w:autoSpaceDE w:val="0"/>
                    <w:spacing w:line="240" w:lineRule="auto"/>
                    <w:ind w:firstLine="0" w:firstLineChars="0"/>
                    <w:jc w:val="center"/>
                    <w:rPr>
                      <w:rFonts w:cs="Times New Roman"/>
                      <w:sz w:val="21"/>
                      <w:szCs w:val="24"/>
                    </w:rPr>
                  </w:pPr>
                  <w:r>
                    <w:rPr>
                      <w:rFonts w:hint="eastAsia" w:cs="Times New Roman"/>
                      <w:sz w:val="21"/>
                      <w:szCs w:val="24"/>
                    </w:rPr>
                    <w:t>厂界</w:t>
                  </w:r>
                </w:p>
              </w:tc>
              <w:tc>
                <w:tcPr>
                  <w:tcW w:w="63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bCs/>
                      <w:sz w:val="21"/>
                      <w:szCs w:val="21"/>
                    </w:rPr>
                    <w:t>东北</w:t>
                  </w:r>
                </w:p>
              </w:tc>
              <w:tc>
                <w:tcPr>
                  <w:tcW w:w="70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53.8</w:t>
                  </w:r>
                </w:p>
              </w:tc>
              <w:tc>
                <w:tcPr>
                  <w:tcW w:w="72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52.6</w:t>
                  </w:r>
                </w:p>
              </w:tc>
              <w:tc>
                <w:tcPr>
                  <w:tcW w:w="66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49.4</w:t>
                  </w:r>
                </w:p>
              </w:tc>
              <w:tc>
                <w:tcPr>
                  <w:tcW w:w="73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52.7</w:t>
                  </w:r>
                </w:p>
              </w:tc>
              <w:tc>
                <w:tcPr>
                  <w:tcW w:w="781"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46.4</w:t>
                  </w:r>
                </w:p>
              </w:tc>
              <w:tc>
                <w:tcPr>
                  <w:tcW w:w="69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45.0</w:t>
                  </w:r>
                </w:p>
              </w:tc>
              <w:tc>
                <w:tcPr>
                  <w:tcW w:w="806"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43.6</w:t>
                  </w:r>
                </w:p>
              </w:tc>
              <w:tc>
                <w:tcPr>
                  <w:tcW w:w="793" w:type="dxa"/>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rFonts w:cs="Times New Roman"/>
                      <w:sz w:val="21"/>
                      <w:szCs w:val="24"/>
                    </w:rPr>
                  </w:pPr>
                  <w:r>
                    <w:rPr>
                      <w:rFonts w:hint="eastAsia" w:cs="Times New Roman"/>
                      <w:sz w:val="21"/>
                      <w:szCs w:val="21"/>
                    </w:rPr>
                    <w:t>45.2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560" w:hRule="exact"/>
                <w:jc w:val="center"/>
              </w:trPr>
              <w:tc>
                <w:tcPr>
                  <w:tcW w:w="716" w:type="dxa"/>
                  <w:tcBorders>
                    <w:top w:val="single" w:color="auto" w:sz="4" w:space="0"/>
                    <w:left w:val="nil"/>
                    <w:bottom w:val="single" w:color="auto" w:sz="12" w:space="0"/>
                    <w:right w:val="single" w:color="auto" w:sz="4" w:space="0"/>
                  </w:tcBorders>
                  <w:vAlign w:val="center"/>
                </w:tcPr>
                <w:p>
                  <w:pPr>
                    <w:autoSpaceDE w:val="0"/>
                    <w:spacing w:line="240" w:lineRule="auto"/>
                    <w:ind w:firstLine="0" w:firstLineChars="0"/>
                    <w:jc w:val="center"/>
                    <w:rPr>
                      <w:rFonts w:cs="Times New Roman"/>
                      <w:sz w:val="21"/>
                      <w:szCs w:val="24"/>
                    </w:rPr>
                  </w:pPr>
                  <w:r>
                    <w:rPr>
                      <w:rFonts w:hint="eastAsia" w:cs="Times New Roman"/>
                      <w:sz w:val="21"/>
                      <w:szCs w:val="24"/>
                    </w:rPr>
                    <w:t>5</w:t>
                  </w:r>
                  <w:r>
                    <w:rPr>
                      <w:rFonts w:cs="Times New Roman"/>
                      <w:sz w:val="21"/>
                      <w:szCs w:val="24"/>
                    </w:rPr>
                    <w:t>#</w:t>
                  </w:r>
                </w:p>
              </w:tc>
              <w:tc>
                <w:tcPr>
                  <w:tcW w:w="724" w:type="dxa"/>
                  <w:tcBorders>
                    <w:top w:val="single" w:color="auto" w:sz="4" w:space="0"/>
                    <w:left w:val="single" w:color="auto" w:sz="4" w:space="0"/>
                    <w:bottom w:val="single" w:color="auto" w:sz="12" w:space="0"/>
                    <w:right w:val="single" w:color="auto" w:sz="4" w:space="0"/>
                  </w:tcBorders>
                  <w:vAlign w:val="center"/>
                </w:tcPr>
                <w:p>
                  <w:pPr>
                    <w:autoSpaceDE w:val="0"/>
                    <w:spacing w:line="240" w:lineRule="auto"/>
                    <w:ind w:firstLine="0" w:firstLineChars="0"/>
                    <w:jc w:val="center"/>
                    <w:rPr>
                      <w:rFonts w:cs="Times New Roman"/>
                      <w:sz w:val="21"/>
                      <w:szCs w:val="24"/>
                    </w:rPr>
                  </w:pPr>
                  <w:r>
                    <w:rPr>
                      <w:rFonts w:hint="eastAsia" w:cs="Times New Roman"/>
                      <w:sz w:val="21"/>
                      <w:szCs w:val="24"/>
                    </w:rPr>
                    <w:t>新郭行村</w:t>
                  </w:r>
                </w:p>
              </w:tc>
              <w:tc>
                <w:tcPr>
                  <w:tcW w:w="636"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bCs/>
                      <w:sz w:val="21"/>
                      <w:szCs w:val="21"/>
                    </w:rPr>
                    <w:t>西北</w:t>
                  </w:r>
                </w:p>
              </w:tc>
              <w:tc>
                <w:tcPr>
                  <w:tcW w:w="706"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52.6</w:t>
                  </w:r>
                </w:p>
              </w:tc>
              <w:tc>
                <w:tcPr>
                  <w:tcW w:w="726"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51.0</w:t>
                  </w:r>
                </w:p>
              </w:tc>
              <w:tc>
                <w:tcPr>
                  <w:tcW w:w="662"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48.8</w:t>
                  </w:r>
                </w:p>
              </w:tc>
              <w:tc>
                <w:tcPr>
                  <w:tcW w:w="732"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51.3</w:t>
                  </w:r>
                </w:p>
              </w:tc>
              <w:tc>
                <w:tcPr>
                  <w:tcW w:w="781"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44.2</w:t>
                  </w:r>
                </w:p>
              </w:tc>
              <w:tc>
                <w:tcPr>
                  <w:tcW w:w="694"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43.6</w:t>
                  </w:r>
                </w:p>
              </w:tc>
              <w:tc>
                <w:tcPr>
                  <w:tcW w:w="806"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sz w:val="21"/>
                      <w:szCs w:val="24"/>
                    </w:rPr>
                  </w:pPr>
                  <w:r>
                    <w:rPr>
                      <w:rFonts w:hint="eastAsia" w:cs="Times New Roman"/>
                      <w:sz w:val="21"/>
                      <w:szCs w:val="21"/>
                    </w:rPr>
                    <w:t>41.8</w:t>
                  </w:r>
                </w:p>
              </w:tc>
              <w:tc>
                <w:tcPr>
                  <w:tcW w:w="793" w:type="dxa"/>
                  <w:tcBorders>
                    <w:top w:val="single" w:color="auto" w:sz="4" w:space="0"/>
                    <w:left w:val="single" w:color="auto" w:sz="4" w:space="0"/>
                    <w:bottom w:val="single" w:color="auto" w:sz="12" w:space="0"/>
                    <w:right w:val="nil"/>
                  </w:tcBorders>
                  <w:vAlign w:val="center"/>
                </w:tcPr>
                <w:p>
                  <w:pPr>
                    <w:spacing w:line="240" w:lineRule="auto"/>
                    <w:ind w:firstLine="0" w:firstLineChars="0"/>
                    <w:jc w:val="center"/>
                    <w:rPr>
                      <w:rFonts w:cs="Times New Roman"/>
                      <w:sz w:val="21"/>
                      <w:szCs w:val="24"/>
                    </w:rPr>
                  </w:pPr>
                  <w:r>
                    <w:rPr>
                      <w:rFonts w:hint="eastAsia" w:cs="Times New Roman"/>
                      <w:sz w:val="21"/>
                      <w:szCs w:val="21"/>
                    </w:rPr>
                    <w:t>43.8</w:t>
                  </w:r>
                </w:p>
              </w:tc>
            </w:tr>
          </w:tbl>
          <w:p>
            <w:pPr>
              <w:ind w:firstLine="480"/>
            </w:pPr>
            <w:r>
              <w:rPr>
                <w:rFonts w:hint="eastAsia"/>
              </w:rPr>
              <w:t>由表3-4知，东方恒略厂界四周噪声满足《声环境质量标准》（GB3096-2008）2类标准；新郭行村噪声满足《声环境质量标准》（GB3096-2008）1类标准。因此，项目所在区域声环境质量良好。</w:t>
            </w:r>
          </w:p>
          <w:p>
            <w:pPr>
              <w:pStyle w:val="42"/>
              <w:ind w:firstLine="480"/>
              <w:rPr>
                <w:color w:val="auto"/>
              </w:rPr>
            </w:pPr>
          </w:p>
          <w:p>
            <w:pPr>
              <w:pStyle w:val="44"/>
              <w:ind w:firstLine="480"/>
            </w:pPr>
          </w:p>
          <w:p>
            <w:pPr>
              <w:ind w:firstLine="480"/>
            </w:pPr>
          </w:p>
          <w:p>
            <w:pPr>
              <w:pStyle w:val="2"/>
              <w:ind w:firstLine="480"/>
            </w:pPr>
          </w:p>
          <w:p>
            <w:pPr>
              <w:ind w:firstLine="480"/>
            </w:pPr>
          </w:p>
          <w:p>
            <w:pPr>
              <w:pStyle w:val="33"/>
              <w:keepNext w:val="0"/>
              <w:keepLines w:val="0"/>
              <w:suppressLineNumbers w:val="0"/>
              <w:spacing w:before="0" w:beforeAutospacing="0" w:afterAutospacing="0"/>
              <w:ind w:left="480" w:right="0" w:firstLine="480"/>
              <w:rPr>
                <w:rFonts w:hint="default"/>
              </w:rPr>
            </w:pPr>
            <w:r>
              <w:rPr>
                <w:rFonts w:hint="eastAsia"/>
              </w:rPr>
              <w:drawing>
                <wp:anchor distT="0" distB="0" distL="114300" distR="114300" simplePos="0" relativeHeight="251670528" behindDoc="1" locked="0" layoutInCell="1" allowOverlap="1">
                  <wp:simplePos x="0" y="0"/>
                  <wp:positionH relativeFrom="column">
                    <wp:posOffset>12065</wp:posOffset>
                  </wp:positionH>
                  <wp:positionV relativeFrom="paragraph">
                    <wp:posOffset>24130</wp:posOffset>
                  </wp:positionV>
                  <wp:extent cx="5047615" cy="2444750"/>
                  <wp:effectExtent l="9525" t="9525" r="10160" b="22225"/>
                  <wp:wrapNone/>
                  <wp:docPr id="6" name="图片 6" descr="16e0c9a0cae5c9a9270b8a4c2b866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6e0c9a0cae5c9a9270b8a4c2b8666f"/>
                          <pic:cNvPicPr>
                            <a:picLocks noChangeAspect="1"/>
                          </pic:cNvPicPr>
                        </pic:nvPicPr>
                        <pic:blipFill>
                          <a:blip r:embed="rId31"/>
                          <a:srcRect l="314" t="645"/>
                          <a:stretch>
                            <a:fillRect/>
                          </a:stretch>
                        </pic:blipFill>
                        <pic:spPr>
                          <a:xfrm>
                            <a:off x="0" y="0"/>
                            <a:ext cx="5047615" cy="2444750"/>
                          </a:xfrm>
                          <a:prstGeom prst="rect">
                            <a:avLst/>
                          </a:prstGeom>
                          <a:ln>
                            <a:solidFill>
                              <a:schemeClr val="tx1"/>
                            </a:solidFill>
                          </a:ln>
                        </pic:spPr>
                      </pic:pic>
                    </a:graphicData>
                  </a:graphic>
                </wp:anchor>
              </w:drawing>
            </w:r>
          </w:p>
          <w:p>
            <w:pPr>
              <w:keepNext w:val="0"/>
              <w:keepLines w:val="0"/>
              <w:suppressLineNumbers w:val="0"/>
              <w:spacing w:before="0" w:beforeAutospacing="0" w:after="0" w:afterAutospacing="0"/>
              <w:ind w:left="0" w:right="0" w:firstLine="480"/>
              <w:rPr>
                <w:rFonts w:hint="default"/>
              </w:rPr>
            </w:pPr>
          </w:p>
          <w:p>
            <w:pPr>
              <w:pStyle w:val="33"/>
              <w:keepNext w:val="0"/>
              <w:keepLines w:val="0"/>
              <w:suppressLineNumbers w:val="0"/>
              <w:spacing w:before="0" w:beforeAutospacing="0" w:afterAutospacing="0"/>
              <w:ind w:left="480" w:right="0" w:firstLine="480"/>
              <w:rPr>
                <w:rFonts w:hint="default"/>
              </w:rPr>
            </w:pPr>
          </w:p>
          <w:p>
            <w:pPr>
              <w:keepNext w:val="0"/>
              <w:keepLines w:val="0"/>
              <w:suppressLineNumbers w:val="0"/>
              <w:spacing w:before="0" w:beforeAutospacing="0" w:after="0" w:afterAutospacing="0"/>
              <w:ind w:left="0" w:right="0" w:firstLine="480"/>
              <w:rPr>
                <w:rFonts w:hint="default"/>
              </w:rPr>
            </w:pPr>
          </w:p>
          <w:p>
            <w:pPr>
              <w:pStyle w:val="33"/>
              <w:keepNext w:val="0"/>
              <w:keepLines w:val="0"/>
              <w:suppressLineNumbers w:val="0"/>
              <w:spacing w:before="0" w:beforeAutospacing="0" w:afterAutospacing="0"/>
              <w:ind w:left="480" w:right="0" w:firstLine="480"/>
              <w:rPr>
                <w:rFonts w:hint="default"/>
              </w:rPr>
            </w:pPr>
          </w:p>
          <w:p>
            <w:pPr>
              <w:keepNext w:val="0"/>
              <w:keepLines w:val="0"/>
              <w:suppressLineNumbers w:val="0"/>
              <w:spacing w:before="0" w:beforeAutospacing="0" w:after="0" w:afterAutospacing="0"/>
              <w:ind w:left="0" w:right="0" w:firstLine="480"/>
              <w:rPr>
                <w:rFonts w:hint="default"/>
              </w:rPr>
            </w:pPr>
          </w:p>
          <w:p>
            <w:pPr>
              <w:pStyle w:val="33"/>
              <w:keepNext w:val="0"/>
              <w:keepLines w:val="0"/>
              <w:suppressLineNumbers w:val="0"/>
              <w:spacing w:before="0" w:beforeAutospacing="0" w:afterAutospacing="0"/>
              <w:ind w:left="480" w:right="0" w:firstLine="480"/>
              <w:rPr>
                <w:rFonts w:hint="default"/>
              </w:rPr>
            </w:pPr>
          </w:p>
          <w:p>
            <w:pPr>
              <w:pStyle w:val="4"/>
              <w:spacing w:before="240" w:beforeLines="100" w:line="240" w:lineRule="auto"/>
              <w:jc w:val="center"/>
            </w:pPr>
            <w:r>
              <w:rPr>
                <w:rFonts w:hint="eastAsia"/>
                <w:sz w:val="21"/>
                <w:szCs w:val="21"/>
              </w:rPr>
              <w:t>图3-2  噪声监测布点示意图</w:t>
            </w:r>
          </w:p>
          <w:p>
            <w:pPr>
              <w:pStyle w:val="4"/>
            </w:pPr>
            <w:r>
              <w:rPr>
                <w:rFonts w:hint="eastAsia"/>
              </w:rPr>
              <w:t>3.4地下水环境质量现状</w:t>
            </w:r>
          </w:p>
          <w:p>
            <w:pPr>
              <w:ind w:firstLine="480"/>
            </w:pPr>
            <w:r>
              <w:rPr>
                <w:rFonts w:hint="eastAsia"/>
              </w:rPr>
              <w:t>项目西距龙祠水源地二级保护区22km，不在龙祠水源地保护区内，不在龙祠水源地准保护区范围内；西北距土门水源地及保护区18km，不在土门水源地准保护区范围内。项目周边500米范围内无地下水集中式饮用水水源和热水、矿泉水、温泉等特殊地下水资源。</w:t>
            </w:r>
          </w:p>
          <w:p>
            <w:pPr>
              <w:pStyle w:val="4"/>
            </w:pPr>
            <w:r>
              <w:rPr>
                <w:rFonts w:hint="eastAsia"/>
              </w:rPr>
              <w:t>3.5生态环境质量现状</w:t>
            </w:r>
          </w:p>
          <w:p>
            <w:pPr>
              <w:ind w:firstLine="480"/>
            </w:pPr>
            <w:r>
              <w:rPr>
                <w:rFonts w:hint="eastAsia"/>
              </w:rPr>
              <w:t>本项目租用盛泰源50亩场地。据现场踏勘，厂区内已硬化，内无生态环境保护目标。</w:t>
            </w: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87" w:hRule="atLeast"/>
          <w:jc w:val="center"/>
        </w:trPr>
        <w:tc>
          <w:tcPr>
            <w:tcW w:w="800" w:type="dxa"/>
            <w:vAlign w:val="center"/>
          </w:tcPr>
          <w:p>
            <w:pPr>
              <w:adjustRightInd w:val="0"/>
              <w:snapToGrid w:val="0"/>
              <w:ind w:firstLine="0" w:firstLineChars="0"/>
              <w:jc w:val="center"/>
              <w:rPr>
                <w:rFonts w:cs="Times New Roman"/>
                <w:b/>
                <w:bCs/>
                <w:kern w:val="0"/>
                <w:szCs w:val="21"/>
              </w:rPr>
            </w:pPr>
            <w:r>
              <w:rPr>
                <w:rFonts w:cs="Times New Roman"/>
                <w:b/>
                <w:bCs/>
                <w:kern w:val="0"/>
                <w:szCs w:val="21"/>
              </w:rPr>
              <w:t>环境</w:t>
            </w:r>
          </w:p>
          <w:p>
            <w:pPr>
              <w:adjustRightInd w:val="0"/>
              <w:snapToGrid w:val="0"/>
              <w:ind w:firstLine="0" w:firstLineChars="0"/>
              <w:jc w:val="center"/>
              <w:rPr>
                <w:rFonts w:cs="Times New Roman"/>
                <w:b/>
                <w:bCs/>
                <w:kern w:val="0"/>
                <w:szCs w:val="21"/>
              </w:rPr>
            </w:pPr>
            <w:r>
              <w:rPr>
                <w:rFonts w:cs="Times New Roman"/>
                <w:b/>
                <w:bCs/>
                <w:kern w:val="0"/>
                <w:szCs w:val="21"/>
              </w:rPr>
              <w:t>保护</w:t>
            </w:r>
          </w:p>
          <w:p>
            <w:pPr>
              <w:adjustRightInd w:val="0"/>
              <w:snapToGrid w:val="0"/>
              <w:ind w:firstLine="0" w:firstLineChars="0"/>
              <w:jc w:val="center"/>
              <w:rPr>
                <w:rFonts w:cs="Times New Roman"/>
                <w:kern w:val="0"/>
                <w:szCs w:val="21"/>
              </w:rPr>
            </w:pPr>
            <w:r>
              <w:rPr>
                <w:rFonts w:cs="Times New Roman"/>
                <w:b/>
                <w:bCs/>
                <w:kern w:val="0"/>
                <w:szCs w:val="21"/>
              </w:rPr>
              <w:t>目标</w:t>
            </w:r>
          </w:p>
        </w:tc>
        <w:tc>
          <w:tcPr>
            <w:tcW w:w="8190" w:type="dxa"/>
          </w:tcPr>
          <w:p>
            <w:pPr>
              <w:keepNext/>
              <w:keepLines/>
              <w:ind w:firstLine="0" w:firstLineChars="0"/>
              <w:jc w:val="left"/>
              <w:outlineLvl w:val="1"/>
              <w:rPr>
                <w:b/>
                <w:bCs/>
                <w:sz w:val="30"/>
                <w:szCs w:val="32"/>
              </w:rPr>
            </w:pPr>
            <w:r>
              <w:rPr>
                <w:rFonts w:hint="eastAsia"/>
                <w:b/>
                <w:bCs/>
                <w:sz w:val="30"/>
                <w:szCs w:val="32"/>
              </w:rPr>
              <w:t>3.6环境保护对象</w:t>
            </w:r>
          </w:p>
          <w:p>
            <w:pPr>
              <w:ind w:firstLine="480"/>
            </w:pPr>
            <w:r>
              <w:t>1、大气环境：</w:t>
            </w:r>
            <w:r>
              <w:rPr>
                <w:rFonts w:hint="eastAsia"/>
              </w:rPr>
              <w:t>距离</w:t>
            </w:r>
            <w:r>
              <w:t>本项目最近的村庄为</w:t>
            </w:r>
            <w:r>
              <w:rPr>
                <w:rFonts w:hint="eastAsia"/>
              </w:rPr>
              <w:t>西北</w:t>
            </w:r>
            <w:r>
              <w:rPr>
                <w:spacing w:val="4"/>
                <w:szCs w:val="24"/>
              </w:rPr>
              <w:t>2</w:t>
            </w:r>
            <w:r>
              <w:rPr>
                <w:rFonts w:hint="eastAsia"/>
                <w:spacing w:val="4"/>
                <w:szCs w:val="24"/>
              </w:rPr>
              <w:t>0</w:t>
            </w:r>
            <w:r>
              <w:rPr>
                <w:rFonts w:hint="eastAsia"/>
                <w:szCs w:val="24"/>
              </w:rPr>
              <w:t>m</w:t>
            </w:r>
            <w:r>
              <w:rPr>
                <w:rFonts w:hint="eastAsia"/>
              </w:rPr>
              <w:t>处</w:t>
            </w:r>
            <w:r>
              <w:t>的</w:t>
            </w:r>
            <w:r>
              <w:rPr>
                <w:rFonts w:hint="eastAsia"/>
              </w:rPr>
              <w:t>新郭行村，</w:t>
            </w:r>
            <w:r>
              <w:t>项目厂界外500米范围内无自然保护区、风景名胜区、文化区</w:t>
            </w:r>
            <w:r>
              <w:rPr>
                <w:rFonts w:hint="eastAsia"/>
              </w:rPr>
              <w:t>。</w:t>
            </w:r>
          </w:p>
          <w:p>
            <w:pPr>
              <w:ind w:firstLine="480"/>
            </w:pPr>
            <w:r>
              <w:t>2、地表水环境：项目厂界外</w:t>
            </w:r>
            <w:r>
              <w:rPr>
                <w:rFonts w:hint="eastAsia"/>
              </w:rPr>
              <w:t>南距洰河2.2km，北距涝河1.9km。</w:t>
            </w:r>
          </w:p>
          <w:p>
            <w:pPr>
              <w:ind w:firstLine="480"/>
            </w:pPr>
            <w:r>
              <w:t>3、声环境：</w:t>
            </w:r>
            <w:r>
              <w:rPr>
                <w:rFonts w:hint="eastAsia"/>
              </w:rPr>
              <w:t>项目西北距新郭行村20m</w:t>
            </w:r>
            <w:r>
              <w:t>。</w:t>
            </w:r>
          </w:p>
          <w:p>
            <w:pPr>
              <w:ind w:firstLine="480"/>
            </w:pPr>
            <w:r>
              <w:t>4、地下水环境：项目厂界外500m范围内无地下水集中式饮用水水源和热水、矿泉水、温泉等地下水环境保护目标。</w:t>
            </w:r>
          </w:p>
          <w:p>
            <w:pPr>
              <w:ind w:firstLine="480"/>
            </w:pPr>
            <w:r>
              <w:t>5、土壤环境：</w:t>
            </w:r>
            <w:r>
              <w:rPr>
                <w:rFonts w:hint="eastAsia"/>
              </w:rPr>
              <w:t>项目</w:t>
            </w:r>
            <w:r>
              <w:t>土壤环境保护目标主要为项目</w:t>
            </w:r>
            <w:r>
              <w:rPr>
                <w:rFonts w:hint="eastAsia"/>
              </w:rPr>
              <w:t>北、东西两侧</w:t>
            </w:r>
            <w:r>
              <w:t>的耕地。</w:t>
            </w:r>
          </w:p>
          <w:p>
            <w:pPr>
              <w:ind w:firstLine="480"/>
            </w:pPr>
            <w:r>
              <w:t>6、生态环境：</w:t>
            </w:r>
            <w:r>
              <w:rPr>
                <w:rFonts w:hint="eastAsia"/>
              </w:rPr>
              <w:t>本项目建设租用盛泰源50亩场地。据现场踏勘，厂区已硬化，厂区内无生态环境保护目标。</w:t>
            </w:r>
          </w:p>
          <w:p>
            <w:pPr>
              <w:ind w:firstLine="480"/>
              <w:rPr>
                <w:rFonts w:hAnsi="宋体"/>
                <w:b/>
                <w:sz w:val="21"/>
                <w:szCs w:val="21"/>
              </w:rPr>
            </w:pPr>
            <w:r>
              <w:rPr>
                <w:rFonts w:hint="eastAsia"/>
                <w:bCs/>
              </w:rPr>
              <w:t>主要环境保护目标详见表3-5。</w:t>
            </w:r>
          </w:p>
          <w:p>
            <w:pPr>
              <w:spacing w:line="240" w:lineRule="auto"/>
              <w:ind w:firstLine="422"/>
              <w:jc w:val="center"/>
              <w:rPr>
                <w:rFonts w:hAnsi="宋体"/>
                <w:b/>
                <w:kern w:val="0"/>
                <w:sz w:val="21"/>
                <w:szCs w:val="21"/>
              </w:rPr>
            </w:pPr>
            <w:r>
              <w:rPr>
                <w:rFonts w:hAnsi="宋体"/>
                <w:b/>
                <w:sz w:val="21"/>
                <w:szCs w:val="21"/>
              </w:rPr>
              <w:t>表</w:t>
            </w:r>
            <w:r>
              <w:rPr>
                <w:b/>
                <w:sz w:val="21"/>
                <w:szCs w:val="21"/>
              </w:rPr>
              <w:t>3-</w:t>
            </w:r>
            <w:r>
              <w:rPr>
                <w:rFonts w:hint="eastAsia"/>
                <w:b/>
                <w:sz w:val="21"/>
                <w:szCs w:val="21"/>
              </w:rPr>
              <w:t xml:space="preserve">5  </w:t>
            </w:r>
            <w:r>
              <w:rPr>
                <w:rFonts w:hAnsi="宋体"/>
                <w:b/>
                <w:sz w:val="21"/>
                <w:szCs w:val="21"/>
              </w:rPr>
              <w:t>主</w:t>
            </w:r>
            <w:r>
              <w:rPr>
                <w:rFonts w:hAnsi="宋体"/>
                <w:b/>
                <w:kern w:val="0"/>
                <w:sz w:val="21"/>
                <w:szCs w:val="21"/>
              </w:rPr>
              <w:t>环境保护目标表</w:t>
            </w:r>
          </w:p>
          <w:tbl>
            <w:tblPr>
              <w:tblStyle w:val="34"/>
              <w:tblW w:w="797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6"/>
              <w:gridCol w:w="716"/>
              <w:gridCol w:w="1156"/>
              <w:gridCol w:w="1225"/>
              <w:gridCol w:w="941"/>
              <w:gridCol w:w="1024"/>
              <w:gridCol w:w="22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417" w:type="pct"/>
                  <w:vMerge w:val="restart"/>
                  <w:vAlign w:val="center"/>
                </w:tcPr>
                <w:p>
                  <w:pPr>
                    <w:pStyle w:val="33"/>
                    <w:spacing w:after="0" w:line="240" w:lineRule="auto"/>
                    <w:ind w:left="0" w:leftChars="0" w:firstLine="0" w:firstLineChars="0"/>
                    <w:jc w:val="center"/>
                    <w:rPr>
                      <w:b/>
                      <w:bCs/>
                      <w:sz w:val="18"/>
                      <w:szCs w:val="18"/>
                    </w:rPr>
                  </w:pPr>
                  <w:r>
                    <w:rPr>
                      <w:b/>
                      <w:bCs/>
                      <w:sz w:val="18"/>
                      <w:szCs w:val="18"/>
                    </w:rPr>
                    <w:t>环境要素</w:t>
                  </w:r>
                </w:p>
              </w:tc>
              <w:tc>
                <w:tcPr>
                  <w:tcW w:w="1942" w:type="pct"/>
                  <w:gridSpan w:val="3"/>
                  <w:tcBorders>
                    <w:bottom w:val="single" w:color="auto" w:sz="4" w:space="0"/>
                  </w:tcBorders>
                  <w:vAlign w:val="center"/>
                </w:tcPr>
                <w:p>
                  <w:pPr>
                    <w:pStyle w:val="33"/>
                    <w:spacing w:after="0" w:line="240" w:lineRule="auto"/>
                    <w:ind w:left="0" w:leftChars="0" w:firstLine="0" w:firstLineChars="0"/>
                    <w:jc w:val="center"/>
                    <w:rPr>
                      <w:b/>
                      <w:bCs/>
                      <w:sz w:val="18"/>
                      <w:szCs w:val="18"/>
                    </w:rPr>
                  </w:pPr>
                  <w:r>
                    <w:rPr>
                      <w:b/>
                      <w:bCs/>
                      <w:sz w:val="18"/>
                      <w:szCs w:val="18"/>
                    </w:rPr>
                    <w:t>保护目标</w:t>
                  </w:r>
                </w:p>
              </w:tc>
              <w:tc>
                <w:tcPr>
                  <w:tcW w:w="590" w:type="pct"/>
                  <w:vMerge w:val="restart"/>
                  <w:vAlign w:val="center"/>
                </w:tcPr>
                <w:p>
                  <w:pPr>
                    <w:pStyle w:val="33"/>
                    <w:spacing w:after="0" w:line="240" w:lineRule="auto"/>
                    <w:ind w:left="0" w:leftChars="0" w:firstLine="0" w:firstLineChars="0"/>
                    <w:jc w:val="center"/>
                    <w:rPr>
                      <w:b/>
                      <w:bCs/>
                      <w:sz w:val="18"/>
                      <w:szCs w:val="18"/>
                    </w:rPr>
                  </w:pPr>
                  <w:r>
                    <w:rPr>
                      <w:b/>
                      <w:bCs/>
                      <w:sz w:val="18"/>
                      <w:szCs w:val="18"/>
                    </w:rPr>
                    <w:t>与项目位置关系</w:t>
                  </w:r>
                </w:p>
              </w:tc>
              <w:tc>
                <w:tcPr>
                  <w:tcW w:w="642" w:type="pct"/>
                  <w:vMerge w:val="restart"/>
                  <w:vAlign w:val="center"/>
                </w:tcPr>
                <w:p>
                  <w:pPr>
                    <w:pStyle w:val="33"/>
                    <w:spacing w:after="0" w:line="240" w:lineRule="auto"/>
                    <w:ind w:left="0" w:leftChars="0" w:firstLine="0" w:firstLineChars="0"/>
                    <w:jc w:val="center"/>
                    <w:rPr>
                      <w:b/>
                      <w:bCs/>
                      <w:sz w:val="18"/>
                      <w:szCs w:val="18"/>
                    </w:rPr>
                  </w:pPr>
                  <w:r>
                    <w:rPr>
                      <w:rFonts w:hint="eastAsia"/>
                      <w:b/>
                      <w:bCs/>
                      <w:sz w:val="18"/>
                      <w:szCs w:val="18"/>
                    </w:rPr>
                    <w:t>环境功能区划</w:t>
                  </w:r>
                </w:p>
              </w:tc>
              <w:tc>
                <w:tcPr>
                  <w:tcW w:w="1407" w:type="pct"/>
                  <w:vMerge w:val="restart"/>
                  <w:vAlign w:val="center"/>
                </w:tcPr>
                <w:p>
                  <w:pPr>
                    <w:pStyle w:val="33"/>
                    <w:spacing w:after="0" w:line="240" w:lineRule="auto"/>
                    <w:ind w:left="0" w:leftChars="0" w:firstLine="0" w:firstLineChars="0"/>
                    <w:jc w:val="center"/>
                    <w:rPr>
                      <w:b/>
                      <w:bCs/>
                      <w:sz w:val="18"/>
                      <w:szCs w:val="18"/>
                    </w:rPr>
                  </w:pPr>
                  <w:r>
                    <w:rPr>
                      <w:b/>
                      <w:bCs/>
                      <w:sz w:val="18"/>
                      <w:szCs w:val="18"/>
                    </w:rPr>
                    <w:t>保护要求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417" w:type="pct"/>
                  <w:vMerge w:val="continue"/>
                  <w:tcBorders>
                    <w:bottom w:val="single" w:color="auto" w:sz="12" w:space="0"/>
                  </w:tcBorders>
                  <w:vAlign w:val="center"/>
                </w:tcPr>
                <w:p>
                  <w:pPr>
                    <w:pStyle w:val="33"/>
                    <w:spacing w:after="0" w:line="240" w:lineRule="auto"/>
                    <w:ind w:left="0" w:leftChars="0" w:firstLine="0" w:firstLineChars="0"/>
                    <w:jc w:val="center"/>
                    <w:rPr>
                      <w:sz w:val="18"/>
                      <w:szCs w:val="18"/>
                    </w:rPr>
                  </w:pPr>
                </w:p>
              </w:tc>
              <w:tc>
                <w:tcPr>
                  <w:tcW w:w="449" w:type="pct"/>
                  <w:tcBorders>
                    <w:top w:val="single" w:color="auto" w:sz="4" w:space="0"/>
                    <w:bottom w:val="single" w:color="auto" w:sz="12" w:space="0"/>
                  </w:tcBorders>
                  <w:vAlign w:val="center"/>
                </w:tcPr>
                <w:p>
                  <w:pPr>
                    <w:pStyle w:val="33"/>
                    <w:spacing w:after="0" w:line="240" w:lineRule="auto"/>
                    <w:ind w:left="0" w:leftChars="0" w:firstLine="0" w:firstLineChars="0"/>
                    <w:jc w:val="center"/>
                    <w:rPr>
                      <w:b/>
                      <w:bCs/>
                      <w:sz w:val="18"/>
                      <w:szCs w:val="18"/>
                    </w:rPr>
                  </w:pPr>
                  <w:r>
                    <w:rPr>
                      <w:rFonts w:hint="eastAsia"/>
                      <w:b/>
                      <w:bCs/>
                      <w:sz w:val="18"/>
                      <w:szCs w:val="18"/>
                    </w:rPr>
                    <w:t>村庄</w:t>
                  </w:r>
                </w:p>
              </w:tc>
              <w:tc>
                <w:tcPr>
                  <w:tcW w:w="725" w:type="pct"/>
                  <w:tcBorders>
                    <w:top w:val="single" w:color="auto" w:sz="4" w:space="0"/>
                    <w:bottom w:val="single" w:color="auto" w:sz="12" w:space="0"/>
                  </w:tcBorders>
                  <w:vAlign w:val="center"/>
                </w:tcPr>
                <w:p>
                  <w:pPr>
                    <w:pStyle w:val="33"/>
                    <w:spacing w:after="0" w:line="240" w:lineRule="auto"/>
                    <w:ind w:left="0" w:leftChars="0" w:firstLine="0" w:firstLineChars="0"/>
                    <w:jc w:val="center"/>
                    <w:rPr>
                      <w:b/>
                      <w:bCs/>
                      <w:sz w:val="18"/>
                      <w:szCs w:val="18"/>
                    </w:rPr>
                  </w:pPr>
                  <w:r>
                    <w:rPr>
                      <w:rFonts w:hint="eastAsia"/>
                      <w:b/>
                      <w:bCs/>
                      <w:sz w:val="18"/>
                      <w:szCs w:val="18"/>
                    </w:rPr>
                    <w:t>X/m</w:t>
                  </w:r>
                </w:p>
              </w:tc>
              <w:tc>
                <w:tcPr>
                  <w:tcW w:w="768" w:type="pct"/>
                  <w:tcBorders>
                    <w:top w:val="single" w:color="auto" w:sz="4" w:space="0"/>
                    <w:bottom w:val="single" w:color="auto" w:sz="12" w:space="0"/>
                  </w:tcBorders>
                  <w:vAlign w:val="center"/>
                </w:tcPr>
                <w:p>
                  <w:pPr>
                    <w:pStyle w:val="33"/>
                    <w:spacing w:after="0" w:line="240" w:lineRule="auto"/>
                    <w:ind w:left="0" w:leftChars="0" w:firstLine="0" w:firstLineChars="0"/>
                    <w:jc w:val="center"/>
                    <w:rPr>
                      <w:b/>
                      <w:bCs/>
                      <w:sz w:val="18"/>
                      <w:szCs w:val="18"/>
                    </w:rPr>
                  </w:pPr>
                  <w:r>
                    <w:rPr>
                      <w:rFonts w:hint="eastAsia"/>
                      <w:b/>
                      <w:bCs/>
                      <w:sz w:val="18"/>
                      <w:szCs w:val="18"/>
                    </w:rPr>
                    <w:t>Y/m</w:t>
                  </w:r>
                </w:p>
              </w:tc>
              <w:tc>
                <w:tcPr>
                  <w:tcW w:w="590" w:type="pct"/>
                  <w:vMerge w:val="continue"/>
                  <w:tcBorders>
                    <w:bottom w:val="single" w:color="auto" w:sz="12" w:space="0"/>
                  </w:tcBorders>
                  <w:vAlign w:val="center"/>
                </w:tcPr>
                <w:p>
                  <w:pPr>
                    <w:pStyle w:val="33"/>
                    <w:spacing w:after="0" w:line="240" w:lineRule="auto"/>
                    <w:ind w:left="0" w:leftChars="0" w:firstLine="0" w:firstLineChars="0"/>
                    <w:jc w:val="center"/>
                    <w:rPr>
                      <w:b/>
                      <w:bCs/>
                      <w:sz w:val="18"/>
                      <w:szCs w:val="18"/>
                    </w:rPr>
                  </w:pPr>
                </w:p>
              </w:tc>
              <w:tc>
                <w:tcPr>
                  <w:tcW w:w="642" w:type="pct"/>
                  <w:vMerge w:val="continue"/>
                  <w:tcBorders>
                    <w:bottom w:val="single" w:color="auto" w:sz="12" w:space="0"/>
                  </w:tcBorders>
                  <w:vAlign w:val="center"/>
                </w:tcPr>
                <w:p>
                  <w:pPr>
                    <w:pStyle w:val="33"/>
                    <w:spacing w:after="0" w:line="240" w:lineRule="auto"/>
                    <w:ind w:left="0" w:leftChars="0" w:firstLine="0" w:firstLineChars="0"/>
                    <w:jc w:val="center"/>
                    <w:rPr>
                      <w:b/>
                      <w:bCs/>
                      <w:sz w:val="18"/>
                      <w:szCs w:val="18"/>
                    </w:rPr>
                  </w:pPr>
                </w:p>
              </w:tc>
              <w:tc>
                <w:tcPr>
                  <w:tcW w:w="1407" w:type="pct"/>
                  <w:vMerge w:val="continue"/>
                  <w:tcBorders>
                    <w:bottom w:val="single" w:color="auto" w:sz="12" w:space="0"/>
                  </w:tcBorders>
                  <w:vAlign w:val="center"/>
                </w:tcPr>
                <w:p>
                  <w:pPr>
                    <w:pStyle w:val="33"/>
                    <w:spacing w:after="0" w:line="240" w:lineRule="auto"/>
                    <w:ind w:left="0" w:leftChars="0" w:firstLine="0" w:firstLineChars="0"/>
                    <w:jc w:val="center"/>
                    <w:rPr>
                      <w:b/>
                      <w:bCs/>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417" w:type="pct"/>
                  <w:tcBorders>
                    <w:top w:val="single" w:color="auto" w:sz="12" w:space="0"/>
                    <w:bottom w:val="single" w:color="auto" w:sz="4" w:space="0"/>
                  </w:tcBorders>
                  <w:vAlign w:val="center"/>
                </w:tcPr>
                <w:p>
                  <w:pPr>
                    <w:pStyle w:val="33"/>
                    <w:spacing w:after="0" w:line="240" w:lineRule="auto"/>
                    <w:ind w:left="0" w:leftChars="0" w:firstLine="0" w:firstLineChars="0"/>
                    <w:jc w:val="center"/>
                    <w:rPr>
                      <w:sz w:val="18"/>
                      <w:szCs w:val="18"/>
                    </w:rPr>
                  </w:pPr>
                  <w:r>
                    <w:rPr>
                      <w:sz w:val="18"/>
                      <w:szCs w:val="18"/>
                    </w:rPr>
                    <w:t>大气环境</w:t>
                  </w:r>
                </w:p>
              </w:tc>
              <w:tc>
                <w:tcPr>
                  <w:tcW w:w="449" w:type="pct"/>
                  <w:tcBorders>
                    <w:top w:val="single" w:color="auto" w:sz="12"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新郭行村</w:t>
                  </w:r>
                </w:p>
              </w:tc>
              <w:tc>
                <w:tcPr>
                  <w:tcW w:w="725" w:type="pct"/>
                  <w:tcBorders>
                    <w:top w:val="single" w:color="auto" w:sz="12"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558019.312</w:t>
                  </w:r>
                </w:p>
              </w:tc>
              <w:tc>
                <w:tcPr>
                  <w:tcW w:w="768" w:type="pct"/>
                  <w:tcBorders>
                    <w:top w:val="single" w:color="auto" w:sz="12"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3993547.101</w:t>
                  </w:r>
                </w:p>
              </w:tc>
              <w:tc>
                <w:tcPr>
                  <w:tcW w:w="590" w:type="pct"/>
                  <w:tcBorders>
                    <w:top w:val="single" w:color="auto" w:sz="12"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西北</w:t>
                  </w:r>
                  <w:r>
                    <w:rPr>
                      <w:sz w:val="18"/>
                      <w:szCs w:val="18"/>
                    </w:rPr>
                    <w:t>2</w:t>
                  </w:r>
                  <w:r>
                    <w:rPr>
                      <w:rFonts w:hint="eastAsia"/>
                      <w:sz w:val="18"/>
                      <w:szCs w:val="18"/>
                    </w:rPr>
                    <w:t>0m</w:t>
                  </w:r>
                </w:p>
              </w:tc>
              <w:tc>
                <w:tcPr>
                  <w:tcW w:w="642" w:type="pct"/>
                  <w:tcBorders>
                    <w:top w:val="single" w:color="auto" w:sz="12"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二类环境空气功能区</w:t>
                  </w:r>
                </w:p>
              </w:tc>
              <w:tc>
                <w:tcPr>
                  <w:tcW w:w="1407" w:type="pct"/>
                  <w:tcBorders>
                    <w:top w:val="single" w:color="auto" w:sz="12" w:space="0"/>
                    <w:bottom w:val="single" w:color="auto" w:sz="4" w:space="0"/>
                  </w:tcBorders>
                  <w:vAlign w:val="center"/>
                </w:tcPr>
                <w:p>
                  <w:pPr>
                    <w:pStyle w:val="33"/>
                    <w:spacing w:after="0" w:line="240" w:lineRule="auto"/>
                    <w:ind w:left="0" w:leftChars="0" w:firstLine="0" w:firstLineChars="0"/>
                    <w:jc w:val="center"/>
                    <w:rPr>
                      <w:sz w:val="18"/>
                      <w:szCs w:val="18"/>
                    </w:rPr>
                  </w:pPr>
                  <w:r>
                    <w:rPr>
                      <w:sz w:val="18"/>
                      <w:szCs w:val="18"/>
                    </w:rPr>
                    <w:t>《环境空气质量标准》（GB3095-2012）二级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417"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声环境</w:t>
                  </w:r>
                </w:p>
              </w:tc>
              <w:tc>
                <w:tcPr>
                  <w:tcW w:w="449"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新郭行村</w:t>
                  </w:r>
                </w:p>
              </w:tc>
              <w:tc>
                <w:tcPr>
                  <w:tcW w:w="725"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558019.312</w:t>
                  </w:r>
                </w:p>
              </w:tc>
              <w:tc>
                <w:tcPr>
                  <w:tcW w:w="768"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3993547.101</w:t>
                  </w:r>
                </w:p>
              </w:tc>
              <w:tc>
                <w:tcPr>
                  <w:tcW w:w="590"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西北20m</w:t>
                  </w:r>
                </w:p>
              </w:tc>
              <w:tc>
                <w:tcPr>
                  <w:tcW w:w="642"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1类声环境功能区</w:t>
                  </w:r>
                </w:p>
              </w:tc>
              <w:tc>
                <w:tcPr>
                  <w:tcW w:w="1407"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《声环境质量标准》（GB3096-2008）</w:t>
                  </w:r>
                </w:p>
                <w:p>
                  <w:pPr>
                    <w:pStyle w:val="33"/>
                    <w:spacing w:after="0" w:line="240" w:lineRule="auto"/>
                    <w:ind w:left="0" w:leftChars="0" w:firstLine="0" w:firstLineChars="0"/>
                    <w:jc w:val="center"/>
                    <w:rPr>
                      <w:sz w:val="18"/>
                      <w:szCs w:val="18"/>
                    </w:rPr>
                  </w:pPr>
                  <w:r>
                    <w:rPr>
                      <w:rFonts w:hint="eastAsia"/>
                      <w:sz w:val="18"/>
                      <w:szCs w:val="18"/>
                    </w:rPr>
                    <w:t>1类标准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7"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地表水</w:t>
                  </w:r>
                </w:p>
              </w:tc>
              <w:tc>
                <w:tcPr>
                  <w:tcW w:w="1942" w:type="pct"/>
                  <w:gridSpan w:val="3"/>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洰河、</w:t>
                  </w:r>
                </w:p>
                <w:p>
                  <w:pPr>
                    <w:pStyle w:val="33"/>
                    <w:spacing w:after="0" w:line="240" w:lineRule="auto"/>
                    <w:ind w:left="0" w:leftChars="0" w:firstLine="0" w:firstLineChars="0"/>
                    <w:jc w:val="center"/>
                    <w:rPr>
                      <w:sz w:val="18"/>
                      <w:szCs w:val="18"/>
                    </w:rPr>
                  </w:pPr>
                  <w:r>
                    <w:rPr>
                      <w:rFonts w:hint="eastAsia"/>
                      <w:sz w:val="18"/>
                      <w:szCs w:val="18"/>
                    </w:rPr>
                    <w:t>涝河</w:t>
                  </w:r>
                </w:p>
              </w:tc>
              <w:tc>
                <w:tcPr>
                  <w:tcW w:w="590"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南2200m、</w:t>
                  </w:r>
                </w:p>
                <w:p>
                  <w:pPr>
                    <w:pStyle w:val="33"/>
                    <w:spacing w:after="0" w:line="240" w:lineRule="auto"/>
                    <w:ind w:left="0" w:leftChars="0" w:firstLine="0" w:firstLineChars="0"/>
                    <w:jc w:val="center"/>
                    <w:rPr>
                      <w:sz w:val="18"/>
                      <w:szCs w:val="18"/>
                    </w:rPr>
                  </w:pPr>
                  <w:r>
                    <w:rPr>
                      <w:rFonts w:hint="eastAsia"/>
                      <w:sz w:val="18"/>
                      <w:szCs w:val="18"/>
                    </w:rPr>
                    <w:t>北1900m</w:t>
                  </w:r>
                </w:p>
              </w:tc>
              <w:tc>
                <w:tcPr>
                  <w:tcW w:w="642"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水环境功能为农业用水保护</w:t>
                  </w:r>
                </w:p>
              </w:tc>
              <w:tc>
                <w:tcPr>
                  <w:tcW w:w="1407"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《地表水环境质量标准》(GB3838-2002)中V类标准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7"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sz w:val="18"/>
                      <w:szCs w:val="18"/>
                    </w:rPr>
                    <w:t>土壤环境</w:t>
                  </w:r>
                </w:p>
              </w:tc>
              <w:tc>
                <w:tcPr>
                  <w:tcW w:w="1942" w:type="pct"/>
                  <w:gridSpan w:val="3"/>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耕地</w:t>
                  </w:r>
                </w:p>
              </w:tc>
              <w:tc>
                <w:tcPr>
                  <w:tcW w:w="590"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北50m、</w:t>
                  </w:r>
                </w:p>
                <w:p>
                  <w:pPr>
                    <w:pStyle w:val="33"/>
                    <w:spacing w:after="0" w:line="240" w:lineRule="auto"/>
                    <w:ind w:left="0" w:leftChars="0" w:firstLine="0" w:firstLineChars="0"/>
                    <w:jc w:val="center"/>
                    <w:rPr>
                      <w:sz w:val="18"/>
                      <w:szCs w:val="18"/>
                    </w:rPr>
                  </w:pPr>
                  <w:r>
                    <w:rPr>
                      <w:rFonts w:hint="eastAsia"/>
                      <w:sz w:val="18"/>
                      <w:szCs w:val="18"/>
                    </w:rPr>
                    <w:t>西5m</w:t>
                  </w:r>
                </w:p>
              </w:tc>
              <w:tc>
                <w:tcPr>
                  <w:tcW w:w="642"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w:t>
                  </w:r>
                </w:p>
              </w:tc>
              <w:tc>
                <w:tcPr>
                  <w:tcW w:w="1407" w:type="pct"/>
                  <w:tcBorders>
                    <w:top w:val="single" w:color="auto" w:sz="4" w:space="0"/>
                    <w:bottom w:val="single" w:color="auto" w:sz="4" w:space="0"/>
                  </w:tcBorders>
                  <w:vAlign w:val="center"/>
                </w:tcPr>
                <w:p>
                  <w:pPr>
                    <w:pStyle w:val="33"/>
                    <w:spacing w:after="0" w:line="240" w:lineRule="auto"/>
                    <w:ind w:left="0" w:leftChars="0" w:firstLine="0" w:firstLineChars="0"/>
                    <w:jc w:val="center"/>
                    <w:rPr>
                      <w:sz w:val="18"/>
                      <w:szCs w:val="18"/>
                    </w:rPr>
                  </w:pPr>
                  <w:r>
                    <w:rPr>
                      <w:sz w:val="18"/>
                      <w:szCs w:val="18"/>
                    </w:rPr>
                    <w:t>《土壤环境质量  农用地土壤污染风险管控标准》（GB15618-2018）筛选值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7" w:type="pct"/>
                  <w:tcBorders>
                    <w:top w:val="single" w:color="auto" w:sz="4" w:space="0"/>
                  </w:tcBorders>
                  <w:vAlign w:val="center"/>
                </w:tcPr>
                <w:p>
                  <w:pPr>
                    <w:pStyle w:val="33"/>
                    <w:spacing w:after="0" w:line="240" w:lineRule="auto"/>
                    <w:ind w:left="0" w:leftChars="0" w:firstLine="0" w:firstLineChars="0"/>
                    <w:jc w:val="center"/>
                    <w:rPr>
                      <w:sz w:val="18"/>
                      <w:szCs w:val="18"/>
                    </w:rPr>
                  </w:pPr>
                  <w:r>
                    <w:rPr>
                      <w:sz w:val="18"/>
                      <w:szCs w:val="18"/>
                    </w:rPr>
                    <w:t>生态环境</w:t>
                  </w:r>
                </w:p>
              </w:tc>
              <w:tc>
                <w:tcPr>
                  <w:tcW w:w="1942" w:type="pct"/>
                  <w:gridSpan w:val="3"/>
                  <w:tcBorders>
                    <w:top w:val="single" w:color="auto" w:sz="4" w:space="0"/>
                  </w:tcBorders>
                  <w:vAlign w:val="center"/>
                </w:tcPr>
                <w:p>
                  <w:pPr>
                    <w:pStyle w:val="33"/>
                    <w:spacing w:after="0" w:line="240" w:lineRule="auto"/>
                    <w:ind w:left="0" w:leftChars="0" w:firstLine="0" w:firstLineChars="0"/>
                    <w:jc w:val="center"/>
                    <w:rPr>
                      <w:sz w:val="18"/>
                      <w:szCs w:val="18"/>
                    </w:rPr>
                  </w:pPr>
                  <w:r>
                    <w:rPr>
                      <w:sz w:val="18"/>
                      <w:szCs w:val="18"/>
                    </w:rPr>
                    <w:t>耕地</w:t>
                  </w:r>
                </w:p>
              </w:tc>
              <w:tc>
                <w:tcPr>
                  <w:tcW w:w="590" w:type="pct"/>
                  <w:tcBorders>
                    <w:top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北50m、</w:t>
                  </w:r>
                </w:p>
                <w:p>
                  <w:pPr>
                    <w:pStyle w:val="33"/>
                    <w:spacing w:after="0" w:line="240" w:lineRule="auto"/>
                    <w:ind w:left="0" w:leftChars="0" w:firstLine="0" w:firstLineChars="0"/>
                    <w:jc w:val="center"/>
                    <w:rPr>
                      <w:sz w:val="18"/>
                      <w:szCs w:val="18"/>
                    </w:rPr>
                  </w:pPr>
                  <w:r>
                    <w:rPr>
                      <w:rFonts w:hint="eastAsia"/>
                      <w:sz w:val="18"/>
                      <w:szCs w:val="18"/>
                    </w:rPr>
                    <w:t>西5m</w:t>
                  </w:r>
                </w:p>
              </w:tc>
              <w:tc>
                <w:tcPr>
                  <w:tcW w:w="642" w:type="pct"/>
                  <w:tcBorders>
                    <w:top w:val="single" w:color="auto" w:sz="4" w:space="0"/>
                  </w:tcBorders>
                  <w:vAlign w:val="center"/>
                </w:tcPr>
                <w:p>
                  <w:pPr>
                    <w:pStyle w:val="33"/>
                    <w:spacing w:after="0" w:line="240" w:lineRule="auto"/>
                    <w:ind w:left="0" w:leftChars="0" w:firstLine="0" w:firstLineChars="0"/>
                    <w:jc w:val="center"/>
                    <w:rPr>
                      <w:sz w:val="18"/>
                      <w:szCs w:val="18"/>
                    </w:rPr>
                  </w:pPr>
                  <w:r>
                    <w:rPr>
                      <w:rFonts w:hint="eastAsia"/>
                      <w:sz w:val="18"/>
                      <w:szCs w:val="18"/>
                    </w:rPr>
                    <w:t>/</w:t>
                  </w:r>
                </w:p>
              </w:tc>
              <w:tc>
                <w:tcPr>
                  <w:tcW w:w="1407" w:type="pct"/>
                  <w:tcBorders>
                    <w:top w:val="single" w:color="auto" w:sz="4" w:space="0"/>
                  </w:tcBorders>
                  <w:vAlign w:val="center"/>
                </w:tcPr>
                <w:p>
                  <w:pPr>
                    <w:pStyle w:val="33"/>
                    <w:spacing w:after="0" w:line="240" w:lineRule="auto"/>
                    <w:ind w:left="0" w:leftChars="0" w:firstLine="0" w:firstLineChars="0"/>
                    <w:jc w:val="center"/>
                    <w:rPr>
                      <w:sz w:val="18"/>
                      <w:szCs w:val="18"/>
                    </w:rPr>
                  </w:pPr>
                  <w:r>
                    <w:rPr>
                      <w:sz w:val="18"/>
                      <w:szCs w:val="18"/>
                    </w:rPr>
                    <w:t>/</w:t>
                  </w:r>
                </w:p>
              </w:tc>
            </w:tr>
          </w:tbl>
          <w:p>
            <w:pPr>
              <w:spacing w:after="120"/>
              <w:ind w:firstLine="0" w:firstLineChars="0"/>
              <w:rPr>
                <w:rFonts w:cs="Times New Roman"/>
                <w:szCs w:val="24"/>
              </w:rPr>
            </w:pPr>
          </w:p>
          <w:p>
            <w:pPr>
              <w:spacing w:after="120"/>
              <w:ind w:firstLine="0" w:firstLineChars="0"/>
              <w:rPr>
                <w:rFonts w:cs="Times New Roman"/>
                <w:szCs w:val="24"/>
              </w:rPr>
            </w:pPr>
          </w:p>
          <w:p>
            <w:pPr>
              <w:spacing w:after="120"/>
              <w:ind w:firstLine="0" w:firstLineChars="0"/>
              <w:rPr>
                <w:rFonts w:cs="Times New Roman"/>
                <w:szCs w:val="24"/>
              </w:rPr>
            </w:pPr>
          </w:p>
          <w:p>
            <w:pPr>
              <w:spacing w:after="120"/>
              <w:ind w:firstLine="0" w:firstLineChars="0"/>
              <w:rPr>
                <w:rFonts w:cs="Times New Roman"/>
                <w:szCs w:val="24"/>
              </w:rPr>
            </w:pPr>
          </w:p>
          <w:p>
            <w:pPr>
              <w:spacing w:after="120"/>
              <w:ind w:firstLine="0" w:firstLineChars="0"/>
              <w:rPr>
                <w:rFonts w:cs="Times New Roman"/>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51" w:hRule="atLeast"/>
          <w:jc w:val="center"/>
        </w:trPr>
        <w:tc>
          <w:tcPr>
            <w:tcW w:w="800" w:type="dxa"/>
            <w:tcMar>
              <w:left w:w="28" w:type="dxa"/>
              <w:right w:w="28" w:type="dxa"/>
            </w:tcMar>
            <w:vAlign w:val="center"/>
          </w:tcPr>
          <w:p>
            <w:pPr>
              <w:adjustRightInd w:val="0"/>
              <w:snapToGrid w:val="0"/>
              <w:ind w:firstLine="0" w:firstLineChars="0"/>
              <w:jc w:val="center"/>
              <w:rPr>
                <w:rFonts w:cs="Times New Roman"/>
                <w:b/>
                <w:bCs/>
                <w:kern w:val="0"/>
                <w:szCs w:val="21"/>
              </w:rPr>
            </w:pPr>
            <w:r>
              <w:rPr>
                <w:rFonts w:cs="Times New Roman"/>
                <w:b/>
                <w:bCs/>
                <w:kern w:val="0"/>
                <w:szCs w:val="21"/>
              </w:rPr>
              <w:t>污染</w:t>
            </w:r>
          </w:p>
          <w:p>
            <w:pPr>
              <w:adjustRightInd w:val="0"/>
              <w:snapToGrid w:val="0"/>
              <w:ind w:firstLine="0" w:firstLineChars="0"/>
              <w:jc w:val="center"/>
              <w:rPr>
                <w:rFonts w:cs="Times New Roman"/>
                <w:b/>
                <w:bCs/>
                <w:kern w:val="0"/>
                <w:szCs w:val="21"/>
              </w:rPr>
            </w:pPr>
            <w:r>
              <w:rPr>
                <w:rFonts w:cs="Times New Roman"/>
                <w:b/>
                <w:bCs/>
                <w:kern w:val="0"/>
                <w:szCs w:val="21"/>
              </w:rPr>
              <w:t>物排</w:t>
            </w:r>
          </w:p>
          <w:p>
            <w:pPr>
              <w:adjustRightInd w:val="0"/>
              <w:snapToGrid w:val="0"/>
              <w:ind w:firstLine="0" w:firstLineChars="0"/>
              <w:jc w:val="center"/>
              <w:rPr>
                <w:rFonts w:cs="Times New Roman"/>
                <w:b/>
                <w:bCs/>
                <w:kern w:val="0"/>
                <w:szCs w:val="21"/>
              </w:rPr>
            </w:pPr>
            <w:r>
              <w:rPr>
                <w:rFonts w:cs="Times New Roman"/>
                <w:b/>
                <w:bCs/>
                <w:kern w:val="0"/>
                <w:szCs w:val="21"/>
              </w:rPr>
              <w:t>放控</w:t>
            </w:r>
          </w:p>
          <w:p>
            <w:pPr>
              <w:adjustRightInd w:val="0"/>
              <w:snapToGrid w:val="0"/>
              <w:ind w:firstLine="0" w:firstLineChars="0"/>
              <w:jc w:val="center"/>
              <w:rPr>
                <w:rFonts w:cs="Times New Roman"/>
                <w:b/>
                <w:bCs/>
                <w:kern w:val="0"/>
                <w:szCs w:val="21"/>
              </w:rPr>
            </w:pPr>
            <w:r>
              <w:rPr>
                <w:rFonts w:cs="Times New Roman"/>
                <w:b/>
                <w:bCs/>
                <w:kern w:val="0"/>
                <w:szCs w:val="21"/>
              </w:rPr>
              <w:t>制标</w:t>
            </w:r>
          </w:p>
          <w:p>
            <w:pPr>
              <w:adjustRightInd w:val="0"/>
              <w:snapToGrid w:val="0"/>
              <w:ind w:firstLine="0" w:firstLineChars="0"/>
              <w:jc w:val="center"/>
              <w:rPr>
                <w:rFonts w:cs="Times New Roman"/>
                <w:kern w:val="0"/>
                <w:szCs w:val="21"/>
              </w:rPr>
            </w:pPr>
            <w:r>
              <w:rPr>
                <w:rFonts w:cs="Times New Roman"/>
                <w:b/>
                <w:bCs/>
                <w:kern w:val="0"/>
                <w:szCs w:val="21"/>
              </w:rPr>
              <w:t>准</w:t>
            </w:r>
          </w:p>
        </w:tc>
        <w:tc>
          <w:tcPr>
            <w:tcW w:w="8190" w:type="dxa"/>
          </w:tcPr>
          <w:p>
            <w:pPr>
              <w:keepNext/>
              <w:keepLines/>
              <w:ind w:firstLine="0" w:firstLineChars="0"/>
              <w:jc w:val="left"/>
              <w:outlineLvl w:val="1"/>
              <w:rPr>
                <w:b/>
                <w:bCs/>
                <w:sz w:val="30"/>
                <w:szCs w:val="32"/>
              </w:rPr>
            </w:pPr>
            <w:r>
              <w:rPr>
                <w:rFonts w:hint="eastAsia"/>
                <w:b/>
                <w:bCs/>
                <w:sz w:val="30"/>
                <w:szCs w:val="32"/>
              </w:rPr>
              <w:t>3.7废气</w:t>
            </w:r>
          </w:p>
          <w:p>
            <w:pPr>
              <w:ind w:firstLine="480"/>
            </w:pPr>
            <w:r>
              <w:t>运营期：</w:t>
            </w:r>
            <w:r>
              <w:rPr>
                <w:rFonts w:hint="eastAsia"/>
              </w:rPr>
              <w:t>项目无组织颗粒物排放执行《大气污染物综合排放标准》（GB16297-1996）中表2规定的排放限值，标准值见表3-6。</w:t>
            </w:r>
          </w:p>
          <w:p>
            <w:pPr>
              <w:widowControl/>
              <w:spacing w:line="240" w:lineRule="auto"/>
              <w:ind w:firstLine="0" w:firstLineChars="0"/>
              <w:jc w:val="center"/>
              <w:rPr>
                <w:b/>
                <w:bCs/>
                <w:kern w:val="0"/>
                <w:sz w:val="21"/>
                <w:szCs w:val="21"/>
              </w:rPr>
            </w:pPr>
            <w:r>
              <w:rPr>
                <w:b/>
                <w:bCs/>
                <w:kern w:val="0"/>
                <w:sz w:val="21"/>
                <w:szCs w:val="21"/>
              </w:rPr>
              <w:t>表</w:t>
            </w:r>
            <w:r>
              <w:rPr>
                <w:rFonts w:hint="eastAsia"/>
                <w:b/>
                <w:bCs/>
                <w:kern w:val="0"/>
                <w:sz w:val="21"/>
                <w:szCs w:val="21"/>
              </w:rPr>
              <w:t>3-6</w:t>
            </w:r>
            <w:r>
              <w:rPr>
                <w:b/>
                <w:bCs/>
                <w:kern w:val="0"/>
                <w:sz w:val="21"/>
                <w:szCs w:val="21"/>
              </w:rPr>
              <w:t xml:space="preserve">  </w:t>
            </w:r>
            <w:r>
              <w:rPr>
                <w:rFonts w:hint="eastAsia"/>
                <w:b/>
                <w:bCs/>
                <w:kern w:val="0"/>
                <w:sz w:val="21"/>
                <w:szCs w:val="21"/>
              </w:rPr>
              <w:t>《大气污染物综合排放标准》（GB16297-1996）</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3032"/>
              <w:gridCol w:w="2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32" w:type="dxa"/>
                  <w:vMerge w:val="restart"/>
                  <w:tcBorders>
                    <w:top w:val="single" w:color="auto" w:sz="12" w:space="0"/>
                    <w:left w:val="nil"/>
                    <w:bottom w:val="single" w:color="auto" w:sz="12" w:space="0"/>
                  </w:tcBorders>
                  <w:vAlign w:val="center"/>
                </w:tcPr>
                <w:p>
                  <w:pPr>
                    <w:widowControl/>
                    <w:spacing w:line="240" w:lineRule="auto"/>
                    <w:ind w:firstLine="0" w:firstLineChars="0"/>
                    <w:jc w:val="center"/>
                    <w:textAlignment w:val="center"/>
                    <w:rPr>
                      <w:b/>
                      <w:bCs/>
                      <w:kern w:val="0"/>
                      <w:sz w:val="21"/>
                      <w:szCs w:val="21"/>
                      <w:lang w:bidi="ar"/>
                    </w:rPr>
                  </w:pPr>
                  <w:r>
                    <w:rPr>
                      <w:rFonts w:hint="eastAsia"/>
                      <w:b/>
                      <w:bCs/>
                      <w:kern w:val="0"/>
                      <w:sz w:val="21"/>
                      <w:szCs w:val="21"/>
                      <w:lang w:bidi="ar"/>
                    </w:rPr>
                    <w:t>污染物</w:t>
                  </w:r>
                </w:p>
              </w:tc>
              <w:tc>
                <w:tcPr>
                  <w:tcW w:w="2756" w:type="dxa"/>
                  <w:gridSpan w:val="2"/>
                  <w:tcBorders>
                    <w:top w:val="single" w:color="auto" w:sz="12" w:space="0"/>
                    <w:bottom w:val="single" w:color="auto" w:sz="12" w:space="0"/>
                    <w:right w:val="nil"/>
                  </w:tcBorders>
                  <w:vAlign w:val="center"/>
                </w:tcPr>
                <w:p>
                  <w:pPr>
                    <w:widowControl/>
                    <w:spacing w:line="240" w:lineRule="auto"/>
                    <w:ind w:firstLine="0" w:firstLineChars="0"/>
                    <w:jc w:val="center"/>
                    <w:textAlignment w:val="center"/>
                    <w:rPr>
                      <w:b/>
                      <w:bCs/>
                      <w:kern w:val="0"/>
                      <w:sz w:val="21"/>
                      <w:szCs w:val="21"/>
                      <w:lang w:bidi="ar"/>
                    </w:rPr>
                  </w:pPr>
                  <w:r>
                    <w:rPr>
                      <w:rFonts w:hint="eastAsia"/>
                      <w:b/>
                      <w:bCs/>
                      <w:kern w:val="0"/>
                      <w:sz w:val="21"/>
                      <w:szCs w:val="21"/>
                      <w:lang w:bidi="ar"/>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2" w:type="dxa"/>
                  <w:vMerge w:val="continue"/>
                  <w:tcBorders>
                    <w:top w:val="single" w:color="auto" w:sz="4" w:space="0"/>
                    <w:left w:val="nil"/>
                    <w:bottom w:val="single" w:color="auto" w:sz="12" w:space="0"/>
                  </w:tcBorders>
                  <w:vAlign w:val="center"/>
                </w:tcPr>
                <w:p>
                  <w:pPr>
                    <w:widowControl/>
                    <w:spacing w:line="240" w:lineRule="auto"/>
                    <w:ind w:firstLine="0" w:firstLineChars="0"/>
                    <w:jc w:val="center"/>
                    <w:textAlignment w:val="center"/>
                    <w:rPr>
                      <w:b/>
                      <w:bCs/>
                      <w:kern w:val="0"/>
                      <w:sz w:val="21"/>
                      <w:szCs w:val="21"/>
                      <w:lang w:bidi="ar"/>
                    </w:rPr>
                  </w:pPr>
                </w:p>
              </w:tc>
              <w:tc>
                <w:tcPr>
                  <w:tcW w:w="1404" w:type="dxa"/>
                  <w:tcBorders>
                    <w:top w:val="single" w:color="auto" w:sz="12" w:space="0"/>
                    <w:bottom w:val="single" w:color="auto" w:sz="12" w:space="0"/>
                  </w:tcBorders>
                  <w:vAlign w:val="center"/>
                </w:tcPr>
                <w:p>
                  <w:pPr>
                    <w:widowControl/>
                    <w:spacing w:line="240" w:lineRule="auto"/>
                    <w:ind w:firstLine="0" w:firstLineChars="0"/>
                    <w:jc w:val="center"/>
                    <w:textAlignment w:val="center"/>
                    <w:rPr>
                      <w:b/>
                      <w:bCs/>
                      <w:kern w:val="0"/>
                      <w:sz w:val="21"/>
                      <w:szCs w:val="21"/>
                      <w:lang w:bidi="ar"/>
                    </w:rPr>
                  </w:pPr>
                  <w:r>
                    <w:rPr>
                      <w:rFonts w:hint="eastAsia"/>
                      <w:b/>
                      <w:bCs/>
                      <w:kern w:val="0"/>
                      <w:sz w:val="21"/>
                      <w:szCs w:val="21"/>
                      <w:lang w:bidi="ar"/>
                    </w:rPr>
                    <w:t>监控点</w:t>
                  </w:r>
                </w:p>
              </w:tc>
              <w:tc>
                <w:tcPr>
                  <w:tcW w:w="1352" w:type="dxa"/>
                  <w:tcBorders>
                    <w:top w:val="single" w:color="auto" w:sz="12" w:space="0"/>
                    <w:bottom w:val="single" w:color="auto" w:sz="12" w:space="0"/>
                    <w:right w:val="nil"/>
                  </w:tcBorders>
                  <w:vAlign w:val="center"/>
                </w:tcPr>
                <w:p>
                  <w:pPr>
                    <w:widowControl/>
                    <w:spacing w:line="240" w:lineRule="auto"/>
                    <w:ind w:firstLine="0" w:firstLineChars="0"/>
                    <w:jc w:val="center"/>
                    <w:textAlignment w:val="center"/>
                    <w:rPr>
                      <w:b/>
                      <w:bCs/>
                      <w:kern w:val="0"/>
                      <w:sz w:val="21"/>
                      <w:szCs w:val="21"/>
                      <w:lang w:bidi="ar"/>
                    </w:rPr>
                  </w:pPr>
                  <w:r>
                    <w:rPr>
                      <w:rFonts w:hint="eastAsia"/>
                      <w:b/>
                      <w:bCs/>
                      <w:kern w:val="0"/>
                      <w:sz w:val="21"/>
                      <w:szCs w:val="21"/>
                      <w:lang w:bidi="ar"/>
                    </w:rPr>
                    <w:t>浓度</w:t>
                  </w:r>
                  <w:r>
                    <w:rPr>
                      <w:b/>
                      <w:bCs/>
                      <w:kern w:val="0"/>
                      <w:sz w:val="21"/>
                      <w:szCs w:val="21"/>
                      <w:lang w:bidi="ar"/>
                    </w:rPr>
                    <w:t>(mg/m</w:t>
                  </w:r>
                  <w:r>
                    <w:rPr>
                      <w:b/>
                      <w:bCs/>
                      <w:kern w:val="0"/>
                      <w:sz w:val="21"/>
                      <w:szCs w:val="21"/>
                      <w:vertAlign w:val="superscript"/>
                      <w:lang w:bidi="ar"/>
                    </w:rPr>
                    <w:t>3</w:t>
                  </w:r>
                  <w:r>
                    <w:rPr>
                      <w:b/>
                      <w:bCs/>
                      <w:kern w:val="0"/>
                      <w:sz w:val="21"/>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2" w:type="dxa"/>
                  <w:tcBorders>
                    <w:top w:val="single" w:color="auto" w:sz="12" w:space="0"/>
                    <w:left w:val="nil"/>
                    <w:bottom w:val="single" w:color="auto" w:sz="12" w:space="0"/>
                  </w:tcBorders>
                  <w:vAlign w:val="center"/>
                </w:tcPr>
                <w:p>
                  <w:pPr>
                    <w:widowControl/>
                    <w:spacing w:line="240" w:lineRule="auto"/>
                    <w:ind w:firstLine="0" w:firstLineChars="0"/>
                    <w:jc w:val="center"/>
                    <w:textAlignment w:val="center"/>
                    <w:rPr>
                      <w:kern w:val="0"/>
                      <w:sz w:val="21"/>
                      <w:szCs w:val="21"/>
                      <w:lang w:bidi="ar"/>
                    </w:rPr>
                  </w:pPr>
                  <w:r>
                    <w:rPr>
                      <w:rFonts w:hint="eastAsia"/>
                      <w:kern w:val="0"/>
                      <w:sz w:val="21"/>
                      <w:szCs w:val="21"/>
                      <w:lang w:bidi="ar"/>
                    </w:rPr>
                    <w:t>颗粒物</w:t>
                  </w:r>
                </w:p>
              </w:tc>
              <w:tc>
                <w:tcPr>
                  <w:tcW w:w="1404" w:type="dxa"/>
                  <w:tcBorders>
                    <w:top w:val="single" w:color="auto" w:sz="12" w:space="0"/>
                    <w:bottom w:val="single" w:color="auto" w:sz="12" w:space="0"/>
                  </w:tcBorders>
                  <w:vAlign w:val="center"/>
                </w:tcPr>
                <w:p>
                  <w:pPr>
                    <w:widowControl/>
                    <w:spacing w:line="240" w:lineRule="auto"/>
                    <w:ind w:firstLine="0" w:firstLineChars="0"/>
                    <w:jc w:val="center"/>
                    <w:textAlignment w:val="center"/>
                    <w:rPr>
                      <w:kern w:val="0"/>
                      <w:sz w:val="21"/>
                      <w:szCs w:val="21"/>
                      <w:lang w:bidi="ar"/>
                    </w:rPr>
                  </w:pPr>
                  <w:r>
                    <w:rPr>
                      <w:rFonts w:hint="eastAsia"/>
                      <w:kern w:val="0"/>
                      <w:sz w:val="21"/>
                      <w:szCs w:val="21"/>
                      <w:lang w:bidi="ar"/>
                    </w:rPr>
                    <w:t>厂界外浓度最高点</w:t>
                  </w:r>
                </w:p>
              </w:tc>
              <w:tc>
                <w:tcPr>
                  <w:tcW w:w="1352" w:type="dxa"/>
                  <w:tcBorders>
                    <w:top w:val="single" w:color="auto" w:sz="12" w:space="0"/>
                    <w:bottom w:val="single" w:color="auto" w:sz="12" w:space="0"/>
                    <w:right w:val="nil"/>
                  </w:tcBorders>
                  <w:vAlign w:val="center"/>
                </w:tcPr>
                <w:p>
                  <w:pPr>
                    <w:widowControl/>
                    <w:spacing w:line="240" w:lineRule="auto"/>
                    <w:ind w:firstLine="0" w:firstLineChars="0"/>
                    <w:jc w:val="center"/>
                    <w:textAlignment w:val="center"/>
                    <w:rPr>
                      <w:kern w:val="0"/>
                      <w:sz w:val="21"/>
                      <w:szCs w:val="21"/>
                      <w:lang w:bidi="ar"/>
                    </w:rPr>
                  </w:pPr>
                  <w:r>
                    <w:rPr>
                      <w:rFonts w:hint="eastAsia"/>
                      <w:kern w:val="0"/>
                      <w:sz w:val="21"/>
                      <w:szCs w:val="21"/>
                      <w:lang w:bidi="ar"/>
                    </w:rPr>
                    <w:t>1.0</w:t>
                  </w:r>
                </w:p>
              </w:tc>
            </w:tr>
          </w:tbl>
          <w:p>
            <w:pPr>
              <w:keepNext/>
              <w:keepLines/>
              <w:ind w:firstLine="0" w:firstLineChars="0"/>
              <w:jc w:val="left"/>
              <w:outlineLvl w:val="1"/>
            </w:pPr>
            <w:r>
              <w:rPr>
                <w:rFonts w:hint="eastAsia"/>
                <w:b/>
                <w:bCs/>
                <w:sz w:val="30"/>
                <w:szCs w:val="32"/>
              </w:rPr>
              <w:t>3.8废水</w:t>
            </w:r>
          </w:p>
          <w:p>
            <w:pPr>
              <w:ind w:firstLine="480"/>
            </w:pPr>
            <w:r>
              <w:rPr>
                <w:rFonts w:hint="eastAsia"/>
              </w:rPr>
              <w:t>本项目生活污水依托东方恒略生活污水处理站处理，处理后回用于高炉冲渣。</w:t>
            </w:r>
          </w:p>
          <w:p>
            <w:pPr>
              <w:keepNext/>
              <w:keepLines/>
              <w:ind w:firstLine="0" w:firstLineChars="0"/>
              <w:jc w:val="left"/>
              <w:outlineLvl w:val="1"/>
              <w:rPr>
                <w:b/>
                <w:bCs/>
                <w:sz w:val="30"/>
                <w:szCs w:val="32"/>
              </w:rPr>
            </w:pPr>
            <w:r>
              <w:rPr>
                <w:rFonts w:hint="eastAsia"/>
                <w:b/>
                <w:bCs/>
                <w:sz w:val="30"/>
                <w:szCs w:val="32"/>
              </w:rPr>
              <w:t>3.9噪声</w:t>
            </w:r>
          </w:p>
          <w:p>
            <w:pPr>
              <w:ind w:firstLine="480"/>
              <w:rPr>
                <w:szCs w:val="20"/>
              </w:rPr>
            </w:pPr>
            <w:r>
              <w:rPr>
                <w:rFonts w:hint="eastAsia"/>
                <w:szCs w:val="20"/>
              </w:rPr>
              <w:t xml:space="preserve">施工期：噪声执行《建筑施工场界环境噪声排放标准》（GB12523-2011）中的标准限值。            </w:t>
            </w:r>
          </w:p>
          <w:p>
            <w:pPr>
              <w:spacing w:line="240" w:lineRule="auto"/>
              <w:ind w:firstLine="0" w:firstLineChars="0"/>
              <w:jc w:val="center"/>
              <w:rPr>
                <w:b/>
                <w:bCs/>
                <w:sz w:val="21"/>
                <w:szCs w:val="21"/>
              </w:rPr>
            </w:pPr>
            <w:r>
              <w:rPr>
                <w:rFonts w:hint="eastAsia"/>
                <w:sz w:val="21"/>
                <w:szCs w:val="20"/>
              </w:rPr>
              <w:t xml:space="preserve">                  </w:t>
            </w:r>
            <w:r>
              <w:rPr>
                <w:b/>
                <w:bCs/>
                <w:sz w:val="21"/>
              </w:rPr>
              <w:t>表</w:t>
            </w:r>
            <w:r>
              <w:rPr>
                <w:rFonts w:hint="eastAsia"/>
                <w:b/>
                <w:bCs/>
                <w:sz w:val="21"/>
              </w:rPr>
              <w:t>3-</w:t>
            </w:r>
            <w:r>
              <w:rPr>
                <w:b/>
                <w:bCs/>
                <w:sz w:val="21"/>
              </w:rPr>
              <w:t xml:space="preserve">7  建筑施工场界环境噪声排放标准 </w:t>
            </w:r>
            <w:r>
              <w:rPr>
                <w:b/>
                <w:bCs/>
                <w:sz w:val="21"/>
                <w:szCs w:val="21"/>
              </w:rPr>
              <w:t xml:space="preserve"> </w:t>
            </w:r>
            <w:r>
              <w:rPr>
                <w:rFonts w:hint="eastAsia"/>
                <w:b/>
                <w:bCs/>
                <w:sz w:val="21"/>
                <w:szCs w:val="21"/>
              </w:rPr>
              <w:t xml:space="preserve">     </w:t>
            </w:r>
            <w:r>
              <w:rPr>
                <w:sz w:val="18"/>
                <w:szCs w:val="18"/>
              </w:rPr>
              <w:t>单位：Leq（dB）</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987"/>
              <w:gridCol w:w="39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4130" w:type="dxa"/>
                  <w:tcBorders>
                    <w:top w:val="single" w:color="auto" w:sz="12" w:space="0"/>
                    <w:left w:val="nil"/>
                    <w:bottom w:val="single" w:color="auto" w:sz="12" w:space="0"/>
                    <w:right w:val="single" w:color="auto" w:sz="6" w:space="0"/>
                  </w:tcBorders>
                  <w:vAlign w:val="center"/>
                </w:tcPr>
                <w:p>
                  <w:pPr>
                    <w:spacing w:line="240" w:lineRule="auto"/>
                    <w:ind w:firstLine="0" w:firstLineChars="0"/>
                    <w:jc w:val="center"/>
                    <w:rPr>
                      <w:b/>
                      <w:bCs/>
                      <w:sz w:val="21"/>
                      <w:szCs w:val="21"/>
                    </w:rPr>
                  </w:pPr>
                  <w:r>
                    <w:rPr>
                      <w:rFonts w:hint="eastAsia"/>
                      <w:b/>
                      <w:bCs/>
                      <w:sz w:val="21"/>
                      <w:szCs w:val="21"/>
                    </w:rPr>
                    <w:t>昼间</w:t>
                  </w:r>
                </w:p>
              </w:tc>
              <w:tc>
                <w:tcPr>
                  <w:tcW w:w="4130" w:type="dxa"/>
                  <w:tcBorders>
                    <w:top w:val="single" w:color="auto" w:sz="12" w:space="0"/>
                    <w:left w:val="single" w:color="auto" w:sz="6" w:space="0"/>
                    <w:bottom w:val="single" w:color="auto" w:sz="12" w:space="0"/>
                    <w:right w:val="nil"/>
                  </w:tcBorders>
                  <w:vAlign w:val="center"/>
                </w:tcPr>
                <w:p>
                  <w:pPr>
                    <w:spacing w:line="240" w:lineRule="auto"/>
                    <w:ind w:firstLine="0" w:firstLineChars="0"/>
                    <w:jc w:val="center"/>
                    <w:rPr>
                      <w:b/>
                      <w:bCs/>
                      <w:sz w:val="21"/>
                      <w:szCs w:val="21"/>
                    </w:rPr>
                  </w:pPr>
                  <w:r>
                    <w:rPr>
                      <w:rFonts w:hint="eastAsia"/>
                      <w:b/>
                      <w:bCs/>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4130" w:type="dxa"/>
                  <w:tcBorders>
                    <w:top w:val="single" w:color="auto" w:sz="12" w:space="0"/>
                    <w:left w:val="nil"/>
                    <w:bottom w:val="single" w:color="auto" w:sz="12" w:space="0"/>
                    <w:right w:val="single" w:color="auto" w:sz="6" w:space="0"/>
                  </w:tcBorders>
                  <w:vAlign w:val="center"/>
                </w:tcPr>
                <w:p>
                  <w:pPr>
                    <w:spacing w:line="240" w:lineRule="auto"/>
                    <w:ind w:firstLine="0" w:firstLineChars="0"/>
                    <w:jc w:val="center"/>
                    <w:rPr>
                      <w:sz w:val="21"/>
                      <w:szCs w:val="21"/>
                    </w:rPr>
                  </w:pPr>
                  <w:r>
                    <w:rPr>
                      <w:sz w:val="21"/>
                      <w:szCs w:val="21"/>
                    </w:rPr>
                    <w:t>70</w:t>
                  </w:r>
                </w:p>
              </w:tc>
              <w:tc>
                <w:tcPr>
                  <w:tcW w:w="4130" w:type="dxa"/>
                  <w:tcBorders>
                    <w:top w:val="single" w:color="auto" w:sz="12" w:space="0"/>
                    <w:left w:val="single" w:color="auto" w:sz="6" w:space="0"/>
                    <w:bottom w:val="single" w:color="auto" w:sz="12" w:space="0"/>
                    <w:right w:val="nil"/>
                  </w:tcBorders>
                  <w:vAlign w:val="center"/>
                </w:tcPr>
                <w:p>
                  <w:pPr>
                    <w:spacing w:line="240" w:lineRule="auto"/>
                    <w:ind w:firstLine="0" w:firstLineChars="0"/>
                    <w:jc w:val="center"/>
                    <w:rPr>
                      <w:sz w:val="21"/>
                      <w:szCs w:val="21"/>
                    </w:rPr>
                  </w:pPr>
                  <w:r>
                    <w:rPr>
                      <w:sz w:val="21"/>
                      <w:szCs w:val="21"/>
                    </w:rPr>
                    <w:t>55</w:t>
                  </w:r>
                </w:p>
              </w:tc>
            </w:tr>
          </w:tbl>
          <w:p>
            <w:pPr>
              <w:ind w:firstLine="480"/>
              <w:rPr>
                <w:rFonts w:hint="eastAsia" w:eastAsia="宋体"/>
                <w:lang w:eastAsia="zh-CN"/>
              </w:rPr>
            </w:pPr>
            <w:r>
              <w:rPr>
                <w:rFonts w:hint="eastAsia"/>
              </w:rPr>
              <w:t>运营期：厂界四周噪声执行《工业企业厂界环境噪声排放标准》（GB12348－2008）中2类标准值，标准限值见表3-</w:t>
            </w:r>
            <w:r>
              <w:t>8</w:t>
            </w:r>
            <w:r>
              <w:rPr>
                <w:rFonts w:hint="eastAsia"/>
              </w:rPr>
              <w:t>。</w:t>
            </w:r>
            <w:r>
              <w:rPr>
                <w:rFonts w:hint="eastAsia"/>
                <w:color w:val="auto"/>
              </w:rPr>
              <w:t>新郭行村</w:t>
            </w:r>
            <w:r>
              <w:rPr>
                <w:rFonts w:hint="eastAsia"/>
                <w:color w:val="auto"/>
                <w:lang w:val="en-US" w:eastAsia="zh-CN"/>
              </w:rPr>
              <w:t>声环境执行</w:t>
            </w:r>
            <w:r>
              <w:rPr>
                <w:rFonts w:hint="eastAsia"/>
                <w:color w:val="auto"/>
              </w:rPr>
              <w:t>《声环境质量标准》（GB3096-2008）1类标准</w:t>
            </w:r>
            <w:r>
              <w:rPr>
                <w:rFonts w:hint="eastAsia"/>
                <w:color w:val="auto"/>
                <w:lang w:eastAsia="zh-CN"/>
              </w:rPr>
              <w:t>，</w:t>
            </w:r>
            <w:r>
              <w:rPr>
                <w:rFonts w:hint="eastAsia"/>
                <w:color w:val="auto"/>
              </w:rPr>
              <w:t>昼55dB（A），夜45dB（A）</w:t>
            </w:r>
            <w:r>
              <w:rPr>
                <w:rFonts w:hint="eastAsia"/>
                <w:color w:val="auto"/>
                <w:lang w:eastAsia="zh-CN"/>
              </w:rPr>
              <w:t>。</w:t>
            </w:r>
          </w:p>
          <w:p>
            <w:pPr>
              <w:spacing w:line="240" w:lineRule="auto"/>
              <w:ind w:firstLine="0" w:firstLineChars="0"/>
              <w:jc w:val="center"/>
              <w:rPr>
                <w:b/>
                <w:bCs/>
                <w:sz w:val="21"/>
              </w:rPr>
            </w:pPr>
            <w:r>
              <w:rPr>
                <w:rFonts w:hint="eastAsia"/>
                <w:b/>
                <w:bCs/>
                <w:sz w:val="21"/>
              </w:rPr>
              <w:t>表3-</w:t>
            </w:r>
            <w:r>
              <w:rPr>
                <w:b/>
                <w:bCs/>
                <w:sz w:val="21"/>
              </w:rPr>
              <w:t>8</w:t>
            </w:r>
            <w:r>
              <w:rPr>
                <w:rFonts w:hint="eastAsia"/>
                <w:b/>
                <w:bCs/>
                <w:sz w:val="21"/>
              </w:rPr>
              <w:t xml:space="preserve">  工业企业厂界环境噪声排放标准</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92"/>
              <w:gridCol w:w="2629"/>
              <w:gridCol w:w="27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7" w:hRule="atLeast"/>
                <w:jc w:val="center"/>
              </w:trPr>
              <w:tc>
                <w:tcPr>
                  <w:tcW w:w="2620" w:type="dxa"/>
                  <w:vMerge w:val="restart"/>
                  <w:vAlign w:val="center"/>
                </w:tcPr>
                <w:p>
                  <w:pPr>
                    <w:spacing w:line="240" w:lineRule="auto"/>
                    <w:ind w:firstLine="0" w:firstLineChars="0"/>
                    <w:jc w:val="center"/>
                    <w:rPr>
                      <w:b/>
                      <w:bCs/>
                      <w:sz w:val="21"/>
                      <w:szCs w:val="21"/>
                    </w:rPr>
                  </w:pPr>
                  <w:r>
                    <w:rPr>
                      <w:b/>
                      <w:bCs/>
                      <w:sz w:val="21"/>
                      <w:szCs w:val="21"/>
                    </w:rPr>
                    <w:t>类   别</w:t>
                  </w:r>
                </w:p>
              </w:tc>
              <w:tc>
                <w:tcPr>
                  <w:tcW w:w="5439" w:type="dxa"/>
                  <w:gridSpan w:val="2"/>
                  <w:vAlign w:val="center"/>
                </w:tcPr>
                <w:p>
                  <w:pPr>
                    <w:spacing w:line="240" w:lineRule="auto"/>
                    <w:ind w:firstLine="0" w:firstLineChars="0"/>
                    <w:jc w:val="center"/>
                    <w:rPr>
                      <w:b/>
                      <w:bCs/>
                      <w:sz w:val="21"/>
                      <w:szCs w:val="21"/>
                    </w:rPr>
                  </w:pPr>
                  <w:r>
                    <w:rPr>
                      <w:b/>
                      <w:bCs/>
                      <w:sz w:val="21"/>
                      <w:szCs w:val="21"/>
                    </w:rPr>
                    <w:t>标准值(dB(A))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73" w:hRule="atLeast"/>
                <w:jc w:val="center"/>
              </w:trPr>
              <w:tc>
                <w:tcPr>
                  <w:tcW w:w="2620" w:type="dxa"/>
                  <w:vMerge w:val="continue"/>
                  <w:tcBorders>
                    <w:bottom w:val="single" w:color="auto" w:sz="12" w:space="0"/>
                  </w:tcBorders>
                  <w:vAlign w:val="center"/>
                </w:tcPr>
                <w:p>
                  <w:pPr>
                    <w:spacing w:line="240" w:lineRule="auto"/>
                    <w:ind w:firstLine="0" w:firstLineChars="0"/>
                    <w:jc w:val="center"/>
                    <w:rPr>
                      <w:b/>
                      <w:bCs/>
                      <w:sz w:val="21"/>
                      <w:szCs w:val="21"/>
                    </w:rPr>
                  </w:pPr>
                </w:p>
              </w:tc>
              <w:tc>
                <w:tcPr>
                  <w:tcW w:w="2657" w:type="dxa"/>
                  <w:tcBorders>
                    <w:bottom w:val="single" w:color="auto" w:sz="12" w:space="0"/>
                  </w:tcBorders>
                  <w:vAlign w:val="center"/>
                </w:tcPr>
                <w:p>
                  <w:pPr>
                    <w:spacing w:line="240" w:lineRule="auto"/>
                    <w:ind w:firstLine="0" w:firstLineChars="0"/>
                    <w:jc w:val="center"/>
                    <w:rPr>
                      <w:b/>
                      <w:bCs/>
                      <w:sz w:val="21"/>
                      <w:szCs w:val="21"/>
                    </w:rPr>
                  </w:pPr>
                  <w:r>
                    <w:rPr>
                      <w:b/>
                      <w:bCs/>
                      <w:sz w:val="21"/>
                      <w:szCs w:val="21"/>
                    </w:rPr>
                    <w:t>昼间</w:t>
                  </w:r>
                </w:p>
              </w:tc>
              <w:tc>
                <w:tcPr>
                  <w:tcW w:w="2782" w:type="dxa"/>
                  <w:tcBorders>
                    <w:bottom w:val="single" w:color="auto" w:sz="12" w:space="0"/>
                  </w:tcBorders>
                  <w:vAlign w:val="center"/>
                </w:tcPr>
                <w:p>
                  <w:pPr>
                    <w:spacing w:line="240" w:lineRule="auto"/>
                    <w:ind w:firstLine="0" w:firstLineChars="0"/>
                    <w:jc w:val="center"/>
                    <w:rPr>
                      <w:b/>
                      <w:bCs/>
                      <w:sz w:val="21"/>
                      <w:szCs w:val="21"/>
                    </w:rPr>
                  </w:pPr>
                  <w:r>
                    <w:rPr>
                      <w:b/>
                      <w:bCs/>
                      <w:sz w:val="21"/>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7" w:hRule="atLeast"/>
                <w:jc w:val="center"/>
              </w:trPr>
              <w:tc>
                <w:tcPr>
                  <w:tcW w:w="2620" w:type="dxa"/>
                  <w:tcBorders>
                    <w:top w:val="single" w:color="auto" w:sz="12" w:space="0"/>
                    <w:bottom w:val="single" w:color="auto" w:sz="12" w:space="0"/>
                  </w:tcBorders>
                  <w:vAlign w:val="center"/>
                </w:tcPr>
                <w:p>
                  <w:pPr>
                    <w:spacing w:line="240" w:lineRule="auto"/>
                    <w:ind w:firstLine="0" w:firstLineChars="0"/>
                    <w:jc w:val="center"/>
                    <w:rPr>
                      <w:sz w:val="21"/>
                      <w:szCs w:val="21"/>
                    </w:rPr>
                  </w:pPr>
                  <w:r>
                    <w:rPr>
                      <w:rFonts w:hint="eastAsia"/>
                      <w:sz w:val="21"/>
                      <w:szCs w:val="21"/>
                    </w:rPr>
                    <w:t>2类</w:t>
                  </w:r>
                </w:p>
              </w:tc>
              <w:tc>
                <w:tcPr>
                  <w:tcW w:w="2657" w:type="dxa"/>
                  <w:tcBorders>
                    <w:top w:val="single" w:color="auto" w:sz="12" w:space="0"/>
                    <w:bottom w:val="single" w:color="auto" w:sz="12" w:space="0"/>
                  </w:tcBorders>
                  <w:vAlign w:val="center"/>
                </w:tcPr>
                <w:p>
                  <w:pPr>
                    <w:spacing w:line="240" w:lineRule="auto"/>
                    <w:ind w:firstLine="0" w:firstLineChars="0"/>
                    <w:jc w:val="center"/>
                    <w:rPr>
                      <w:sz w:val="21"/>
                      <w:szCs w:val="21"/>
                    </w:rPr>
                  </w:pPr>
                  <w:r>
                    <w:rPr>
                      <w:rFonts w:hint="eastAsia"/>
                      <w:sz w:val="21"/>
                      <w:szCs w:val="21"/>
                    </w:rPr>
                    <w:t>60</w:t>
                  </w:r>
                </w:p>
              </w:tc>
              <w:tc>
                <w:tcPr>
                  <w:tcW w:w="2782" w:type="dxa"/>
                  <w:tcBorders>
                    <w:top w:val="single" w:color="auto" w:sz="12" w:space="0"/>
                    <w:bottom w:val="single" w:color="auto" w:sz="12" w:space="0"/>
                  </w:tcBorders>
                  <w:vAlign w:val="center"/>
                </w:tcPr>
                <w:p>
                  <w:pPr>
                    <w:spacing w:line="240" w:lineRule="auto"/>
                    <w:ind w:firstLine="0" w:firstLineChars="0"/>
                    <w:jc w:val="center"/>
                    <w:rPr>
                      <w:sz w:val="21"/>
                      <w:szCs w:val="21"/>
                    </w:rPr>
                  </w:pPr>
                  <w:r>
                    <w:rPr>
                      <w:rFonts w:hint="eastAsia"/>
                      <w:sz w:val="21"/>
                      <w:szCs w:val="21"/>
                    </w:rPr>
                    <w:t>65</w:t>
                  </w:r>
                </w:p>
              </w:tc>
            </w:tr>
          </w:tbl>
          <w:p>
            <w:pPr>
              <w:pStyle w:val="4"/>
            </w:pPr>
            <w:r>
              <w:rPr>
                <w:rFonts w:hint="eastAsia"/>
              </w:rPr>
              <w:t>3.10固体废物</w:t>
            </w:r>
          </w:p>
          <w:p>
            <w:pPr>
              <w:ind w:firstLine="480"/>
            </w:pPr>
            <w:r>
              <w:rPr>
                <w:rFonts w:hint="eastAsia"/>
              </w:rPr>
              <w:t>一般固体废物处理执行《一般工业固体废物贮存和填埋污染控制标准》（GB18599-2020）中的有关规定。</w:t>
            </w:r>
          </w:p>
          <w:p>
            <w:pPr>
              <w:ind w:firstLine="480"/>
            </w:pPr>
            <w:r>
              <w:rPr>
                <w:rFonts w:hint="eastAsia"/>
              </w:rPr>
              <w:t>危险废物执行《危险废物贮存污染控制标准》（GB18597-2001）及环境保护部公告（2013年第36号）修改单。</w:t>
            </w:r>
          </w:p>
          <w:p>
            <w:pPr>
              <w:ind w:firstLine="480"/>
            </w:pPr>
          </w:p>
          <w:p>
            <w:pPr>
              <w:ind w:firstLine="480"/>
            </w:pPr>
          </w:p>
          <w:p>
            <w:pPr>
              <w:ind w:firstLine="0" w:firstLineChars="0"/>
              <w:rPr>
                <w:rFonts w:cs="Times New Roman"/>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025" w:hRule="atLeast"/>
          <w:jc w:val="center"/>
        </w:trPr>
        <w:tc>
          <w:tcPr>
            <w:tcW w:w="800" w:type="dxa"/>
            <w:vAlign w:val="center"/>
          </w:tcPr>
          <w:p>
            <w:pPr>
              <w:adjustRightInd w:val="0"/>
              <w:snapToGrid w:val="0"/>
              <w:ind w:firstLine="0" w:firstLineChars="0"/>
              <w:jc w:val="center"/>
              <w:rPr>
                <w:rFonts w:cs="Times New Roman"/>
                <w:b/>
                <w:bCs/>
                <w:kern w:val="0"/>
                <w:szCs w:val="21"/>
              </w:rPr>
            </w:pPr>
            <w:r>
              <w:rPr>
                <w:rFonts w:cs="Times New Roman"/>
                <w:b/>
                <w:bCs/>
                <w:kern w:val="0"/>
                <w:szCs w:val="21"/>
              </w:rPr>
              <w:t>总量</w:t>
            </w:r>
          </w:p>
          <w:p>
            <w:pPr>
              <w:adjustRightInd w:val="0"/>
              <w:snapToGrid w:val="0"/>
              <w:ind w:firstLine="0" w:firstLineChars="0"/>
              <w:jc w:val="center"/>
              <w:rPr>
                <w:rFonts w:cs="Times New Roman"/>
                <w:b/>
                <w:bCs/>
                <w:kern w:val="0"/>
                <w:szCs w:val="21"/>
              </w:rPr>
            </w:pPr>
            <w:r>
              <w:rPr>
                <w:rFonts w:cs="Times New Roman"/>
                <w:b/>
                <w:bCs/>
                <w:kern w:val="0"/>
                <w:szCs w:val="21"/>
              </w:rPr>
              <w:t>控制</w:t>
            </w:r>
          </w:p>
          <w:p>
            <w:pPr>
              <w:adjustRightInd w:val="0"/>
              <w:snapToGrid w:val="0"/>
              <w:ind w:firstLine="0" w:firstLineChars="0"/>
              <w:jc w:val="center"/>
              <w:rPr>
                <w:rFonts w:cs="Times New Roman"/>
                <w:kern w:val="0"/>
                <w:szCs w:val="21"/>
              </w:rPr>
            </w:pPr>
            <w:r>
              <w:rPr>
                <w:rFonts w:cs="Times New Roman"/>
                <w:b/>
                <w:bCs/>
                <w:kern w:val="0"/>
                <w:szCs w:val="21"/>
              </w:rPr>
              <w:t>指标</w:t>
            </w:r>
          </w:p>
        </w:tc>
        <w:tc>
          <w:tcPr>
            <w:tcW w:w="8190" w:type="dxa"/>
            <w:vAlign w:val="center"/>
          </w:tcPr>
          <w:p>
            <w:pPr>
              <w:ind w:firstLine="480"/>
            </w:pPr>
          </w:p>
          <w:p>
            <w:pPr>
              <w:ind w:firstLine="480"/>
            </w:pPr>
          </w:p>
          <w:p>
            <w:pPr>
              <w:ind w:firstLine="480"/>
            </w:pPr>
          </w:p>
          <w:p>
            <w:pPr>
              <w:ind w:firstLine="480"/>
            </w:pPr>
          </w:p>
          <w:p>
            <w:pPr>
              <w:ind w:firstLine="480"/>
            </w:pPr>
          </w:p>
          <w:p>
            <w:pPr>
              <w:pStyle w:val="42"/>
              <w:ind w:firstLine="480"/>
              <w:rPr>
                <w:color w:val="auto"/>
              </w:rPr>
            </w:pPr>
          </w:p>
          <w:p>
            <w:pPr>
              <w:pStyle w:val="14"/>
              <w:ind w:firstLine="400"/>
            </w:pPr>
          </w:p>
          <w:p>
            <w:pPr>
              <w:ind w:firstLine="480"/>
            </w:pPr>
          </w:p>
          <w:p>
            <w:pPr>
              <w:ind w:firstLine="480"/>
            </w:pPr>
            <w:r>
              <w:t>根据山西省环境保护厅《山西省环境保护厅建设项目主要污染物排放总量核定办法》（晋环发[2015]25号）第三条规定：属于环境统计重点工业源调查行业范围内（《国民经济行业分类》（GB/T4754）中采矿业、制造业，电力、燃气及水的生产和供应业，3个门类39个行业）新增主要污染物排放总量的建设项目，在环境影响评价文件审批前，建设单位需按本办法规定取得主要污染物排放总量指标。</w:t>
            </w:r>
          </w:p>
          <w:p>
            <w:pPr>
              <w:ind w:firstLine="480"/>
            </w:pPr>
            <w:r>
              <w:t>本项目</w:t>
            </w:r>
            <w:r>
              <w:rPr>
                <w:rFonts w:hint="eastAsia"/>
              </w:rPr>
              <w:t>废气主要是无组织颗粒物的排放，废水不外排循环使用。</w:t>
            </w:r>
            <w:r>
              <w:t>因此，本项目无需申请总量。</w:t>
            </w:r>
          </w:p>
          <w:p>
            <w:pPr>
              <w:pStyle w:val="33"/>
              <w:ind w:left="480" w:firstLine="480"/>
            </w:pPr>
          </w:p>
          <w:p>
            <w:pPr>
              <w:ind w:firstLine="0" w:firstLineChars="0"/>
            </w:pPr>
          </w:p>
          <w:p>
            <w:pPr>
              <w:pStyle w:val="42"/>
              <w:ind w:firstLine="480"/>
              <w:rPr>
                <w:color w:val="auto"/>
              </w:rPr>
            </w:pPr>
          </w:p>
          <w:p>
            <w:pPr>
              <w:pStyle w:val="14"/>
              <w:ind w:firstLine="400"/>
            </w:pPr>
          </w:p>
          <w:p>
            <w:pPr>
              <w:ind w:firstLine="480"/>
            </w:pPr>
          </w:p>
          <w:p>
            <w:pPr>
              <w:pStyle w:val="42"/>
              <w:ind w:firstLine="480"/>
              <w:rPr>
                <w:color w:val="auto"/>
              </w:rPr>
            </w:pPr>
          </w:p>
          <w:p>
            <w:pPr>
              <w:pStyle w:val="14"/>
              <w:ind w:firstLine="400"/>
            </w:pPr>
          </w:p>
          <w:p>
            <w:pPr>
              <w:ind w:firstLine="480"/>
            </w:pPr>
          </w:p>
          <w:p>
            <w:pPr>
              <w:pStyle w:val="42"/>
              <w:ind w:firstLine="480"/>
              <w:rPr>
                <w:color w:val="auto"/>
              </w:rPr>
            </w:pPr>
          </w:p>
          <w:p>
            <w:pPr>
              <w:ind w:firstLine="480"/>
            </w:pPr>
          </w:p>
        </w:tc>
      </w:tr>
    </w:tbl>
    <w:p>
      <w:pPr>
        <w:widowControl/>
        <w:ind w:firstLine="0" w:firstLineChars="0"/>
        <w:jc w:val="left"/>
        <w:outlineLvl w:val="0"/>
        <w:rPr>
          <w:rStyle w:val="47"/>
          <w:color w:val="auto"/>
        </w:rPr>
      </w:pPr>
      <w:r>
        <w:rPr>
          <w:rFonts w:eastAsia="黑体" w:cs="Times New Roman"/>
          <w:snapToGrid w:val="0"/>
          <w:kern w:val="0"/>
          <w:sz w:val="36"/>
          <w:szCs w:val="36"/>
        </w:rPr>
        <w:br w:type="page"/>
      </w:r>
      <w:bookmarkStart w:id="7" w:name="_Toc71582782"/>
      <w:r>
        <w:rPr>
          <w:rStyle w:val="47"/>
          <w:color w:val="auto"/>
        </w:rPr>
        <w:t>四、主要环境影响和保护措施</w:t>
      </w:r>
      <w:bookmarkEnd w:id="7"/>
    </w:p>
    <w:tbl>
      <w:tblPr>
        <w:tblStyle w:val="3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3"/>
        <w:gridCol w:w="84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23" w:hRule="atLeast"/>
          <w:jc w:val="center"/>
        </w:trPr>
        <w:tc>
          <w:tcPr>
            <w:tcW w:w="443" w:type="dxa"/>
            <w:tcMar>
              <w:left w:w="28" w:type="dxa"/>
              <w:right w:w="28" w:type="dxa"/>
            </w:tcMar>
            <w:vAlign w:val="center"/>
          </w:tcPr>
          <w:p>
            <w:pPr>
              <w:widowControl/>
              <w:adjustRightInd w:val="0"/>
              <w:snapToGrid w:val="0"/>
              <w:ind w:firstLine="0" w:firstLineChars="0"/>
              <w:jc w:val="center"/>
              <w:rPr>
                <w:rFonts w:cs="Times New Roman"/>
                <w:b/>
                <w:bCs/>
                <w:szCs w:val="21"/>
              </w:rPr>
            </w:pPr>
            <w:r>
              <w:rPr>
                <w:rFonts w:cs="Times New Roman"/>
                <w:b/>
                <w:bCs/>
                <w:szCs w:val="21"/>
              </w:rPr>
              <w:t>施工</w:t>
            </w:r>
          </w:p>
          <w:p>
            <w:pPr>
              <w:widowControl/>
              <w:adjustRightInd w:val="0"/>
              <w:snapToGrid w:val="0"/>
              <w:ind w:firstLine="0" w:firstLineChars="0"/>
              <w:jc w:val="center"/>
              <w:rPr>
                <w:rFonts w:cs="Times New Roman"/>
                <w:b/>
                <w:bCs/>
                <w:szCs w:val="21"/>
              </w:rPr>
            </w:pPr>
            <w:r>
              <w:rPr>
                <w:rFonts w:cs="Times New Roman"/>
                <w:b/>
                <w:bCs/>
                <w:szCs w:val="21"/>
              </w:rPr>
              <w:t>期环</w:t>
            </w:r>
          </w:p>
          <w:p>
            <w:pPr>
              <w:widowControl/>
              <w:adjustRightInd w:val="0"/>
              <w:snapToGrid w:val="0"/>
              <w:ind w:firstLine="0" w:firstLineChars="0"/>
              <w:jc w:val="center"/>
              <w:rPr>
                <w:rFonts w:cs="Times New Roman"/>
                <w:b/>
                <w:bCs/>
                <w:szCs w:val="21"/>
              </w:rPr>
            </w:pPr>
            <w:r>
              <w:rPr>
                <w:rFonts w:cs="Times New Roman"/>
                <w:b/>
                <w:bCs/>
                <w:szCs w:val="21"/>
              </w:rPr>
              <w:t>境保</w:t>
            </w:r>
          </w:p>
          <w:p>
            <w:pPr>
              <w:widowControl/>
              <w:adjustRightInd w:val="0"/>
              <w:snapToGrid w:val="0"/>
              <w:ind w:firstLine="0" w:firstLineChars="0"/>
              <w:jc w:val="center"/>
              <w:rPr>
                <w:rFonts w:cs="Times New Roman"/>
                <w:b/>
                <w:bCs/>
                <w:szCs w:val="21"/>
              </w:rPr>
            </w:pPr>
            <w:r>
              <w:rPr>
                <w:rFonts w:cs="Times New Roman"/>
                <w:b/>
                <w:bCs/>
                <w:szCs w:val="21"/>
              </w:rPr>
              <w:t>护措</w:t>
            </w:r>
          </w:p>
          <w:p>
            <w:pPr>
              <w:widowControl/>
              <w:adjustRightInd w:val="0"/>
              <w:snapToGrid w:val="0"/>
              <w:ind w:firstLine="0" w:firstLineChars="0"/>
              <w:jc w:val="center"/>
              <w:rPr>
                <w:rFonts w:cs="Times New Roman"/>
                <w:bCs/>
                <w:szCs w:val="21"/>
              </w:rPr>
            </w:pPr>
            <w:r>
              <w:rPr>
                <w:rFonts w:cs="Times New Roman"/>
                <w:b/>
                <w:bCs/>
                <w:szCs w:val="21"/>
              </w:rPr>
              <w:t>施</w:t>
            </w:r>
          </w:p>
        </w:tc>
        <w:tc>
          <w:tcPr>
            <w:tcW w:w="8465" w:type="dxa"/>
          </w:tcPr>
          <w:p>
            <w:pPr>
              <w:pStyle w:val="4"/>
            </w:pPr>
            <w:r>
              <w:rPr>
                <w:rFonts w:hint="eastAsia"/>
              </w:rPr>
              <w:t>4.1施工期环境保护措施</w:t>
            </w:r>
          </w:p>
          <w:p>
            <w:pPr>
              <w:pStyle w:val="5"/>
            </w:pPr>
            <w:r>
              <w:t>4.1.1施工</w:t>
            </w:r>
            <w:r>
              <w:rPr>
                <w:rFonts w:hint="eastAsia"/>
              </w:rPr>
              <w:t>期大气污染环节及治理措施</w:t>
            </w:r>
          </w:p>
          <w:p>
            <w:pPr>
              <w:ind w:firstLine="480"/>
            </w:pPr>
            <w:r>
              <w:rPr>
                <w:rFonts w:hint="eastAsia" w:ascii="宋体" w:hAnsi="宋体"/>
              </w:rPr>
              <w:t>项目租用盛泰源现有厂房建设，施工期无基建工程，主要是厂房的装修和生产设备的安装。施工期大气污染物主要来自物料装卸、堆放产生的扬尘。在施工过程中使用水泥、石灰、砂石、涂料、铺装材料等易产生扬尘的建筑材料，应以不透水的隔尘布完全覆盖或放置在顶部且四周均密封、遮蔽的设施内。施工期间需使用混凝土时，应使用预拌商品混凝土，不得现场搅拌混凝土、拌石灰土等。施工期严格执行《山西省深入推进扬尘污染治理工作方案》（晋环委办函[2022]4号）：</w:t>
            </w:r>
            <w:r>
              <w:rPr>
                <w:rFonts w:ascii="宋体" w:hAnsi="宋体" w:cs="宋体"/>
                <w:szCs w:val="24"/>
              </w:rPr>
              <w:t>施工现场渣土、垃圾应及时清运,在场地内堆存的</w:t>
            </w:r>
            <w:r>
              <w:rPr>
                <w:rFonts w:hint="eastAsia" w:ascii="宋体" w:hAnsi="宋体" w:cs="宋体"/>
                <w:szCs w:val="24"/>
              </w:rPr>
              <w:t>，</w:t>
            </w:r>
            <w:r>
              <w:rPr>
                <w:rFonts w:ascii="宋体" w:hAnsi="宋体" w:cs="宋体"/>
                <w:szCs w:val="24"/>
              </w:rPr>
              <w:t>应遮盖密闭式防尘网</w:t>
            </w:r>
            <w:r>
              <w:rPr>
                <w:rFonts w:hint="eastAsia" w:ascii="宋体" w:hAnsi="宋体" w:cs="宋体"/>
                <w:szCs w:val="24"/>
              </w:rPr>
              <w:t>；</w:t>
            </w:r>
            <w:r>
              <w:rPr>
                <w:rFonts w:ascii="宋体" w:hAnsi="宋体" w:cs="宋体"/>
                <w:szCs w:val="24"/>
              </w:rPr>
              <w:t>做好非道路移动机械监管进出施工现场信息登记，严禁未经信息编码登记的非道路移动机械进入施工现场作业。</w:t>
            </w:r>
          </w:p>
          <w:p>
            <w:pPr>
              <w:pStyle w:val="5"/>
            </w:pPr>
            <w:r>
              <w:t>4.1.2施工</w:t>
            </w:r>
            <w:r>
              <w:rPr>
                <w:rFonts w:hint="eastAsia"/>
              </w:rPr>
              <w:t>期废水污染环节及治理措施</w:t>
            </w:r>
          </w:p>
          <w:p>
            <w:pPr>
              <w:ind w:firstLine="480"/>
            </w:pPr>
            <w:r>
              <w:rPr>
                <w:rFonts w:ascii="宋体" w:hAnsi="宋体"/>
              </w:rPr>
              <w:t>施工期间的废水主要来自于搅拌机、砂石、灰浆等施工设备少量污水，废水中有害成份不多，主要为固体杂质以泥砂为主。</w:t>
            </w:r>
          </w:p>
          <w:p>
            <w:pPr>
              <w:ind w:firstLine="480"/>
            </w:pPr>
            <w:r>
              <w:rPr>
                <w:rFonts w:ascii="宋体" w:hAnsi="宋体"/>
              </w:rPr>
              <w:t>针对上述不同的废水，采取如下防治措施：</w:t>
            </w:r>
          </w:p>
          <w:p>
            <w:pPr>
              <w:ind w:firstLine="480"/>
            </w:pPr>
            <w:r>
              <w:rPr>
                <w:rFonts w:hint="eastAsia" w:ascii="宋体" w:hAnsi="宋体"/>
              </w:rPr>
              <w:t>（</w:t>
            </w:r>
            <w:r>
              <w:rPr>
                <w:rFonts w:hint="eastAsia"/>
              </w:rPr>
              <w:t>1</w:t>
            </w:r>
            <w:r>
              <w:rPr>
                <w:rFonts w:hint="eastAsia" w:ascii="宋体" w:hAnsi="宋体"/>
              </w:rPr>
              <w:t>）</w:t>
            </w:r>
            <w:r>
              <w:rPr>
                <w:rFonts w:ascii="宋体" w:hAnsi="宋体"/>
              </w:rPr>
              <w:t>严禁向周边环境随意排放施工废水和生活污水。</w:t>
            </w:r>
          </w:p>
          <w:p>
            <w:pPr>
              <w:ind w:firstLine="480"/>
            </w:pPr>
            <w:r>
              <w:rPr>
                <w:rFonts w:hint="eastAsia" w:ascii="宋体" w:hAnsi="宋体"/>
              </w:rPr>
              <w:t>（</w:t>
            </w:r>
            <w:r>
              <w:rPr>
                <w:rFonts w:hint="eastAsia"/>
              </w:rPr>
              <w:t>2</w:t>
            </w:r>
            <w:r>
              <w:rPr>
                <w:rFonts w:hint="eastAsia" w:ascii="宋体" w:hAnsi="宋体"/>
              </w:rPr>
              <w:t>）</w:t>
            </w:r>
            <w:r>
              <w:rPr>
                <w:rFonts w:ascii="宋体" w:hAnsi="宋体"/>
              </w:rPr>
              <w:t>施工材料堆放要求在施工生产区内，要求设置围栏，对散装材料加盖篷布或塑料布，防止雨水冲刷进入环境。施工结束后及时清理施工迹地，并进行生态恢复，减少水土流失。</w:t>
            </w:r>
          </w:p>
          <w:p>
            <w:pPr>
              <w:ind w:firstLine="480"/>
            </w:pPr>
            <w:r>
              <w:rPr>
                <w:rFonts w:hint="eastAsia" w:ascii="宋体" w:hAnsi="宋体"/>
              </w:rPr>
              <w:t>（</w:t>
            </w:r>
            <w:r>
              <w:rPr>
                <w:rFonts w:hint="eastAsia"/>
              </w:rPr>
              <w:t>3</w:t>
            </w:r>
            <w:r>
              <w:rPr>
                <w:rFonts w:hint="eastAsia" w:ascii="宋体" w:hAnsi="宋体"/>
              </w:rPr>
              <w:t>）</w:t>
            </w:r>
            <w:r>
              <w:rPr>
                <w:rFonts w:ascii="宋体" w:hAnsi="宋体"/>
              </w:rPr>
              <w:t>在施工场地设置简单平流式自然沉淀池，施工生产废水由沉淀池收集后回用于场地洒水降尘，不外排。</w:t>
            </w:r>
          </w:p>
          <w:p>
            <w:pPr>
              <w:ind w:firstLine="480"/>
            </w:pPr>
            <w:r>
              <w:rPr>
                <w:rFonts w:hint="eastAsia" w:ascii="宋体" w:hAnsi="宋体"/>
              </w:rPr>
              <w:t>（</w:t>
            </w:r>
            <w:r>
              <w:rPr>
                <w:rFonts w:hint="eastAsia"/>
              </w:rPr>
              <w:t>4</w:t>
            </w:r>
            <w:r>
              <w:rPr>
                <w:rFonts w:hint="eastAsia" w:ascii="宋体" w:hAnsi="宋体"/>
              </w:rPr>
              <w:t>）</w:t>
            </w:r>
            <w:r>
              <w:rPr>
                <w:rFonts w:ascii="宋体" w:hAnsi="宋体"/>
              </w:rPr>
              <w:t>尽量选用先进的设备、机械，以有效地减少跑、冒、滴、漏的数量。</w:t>
            </w:r>
          </w:p>
          <w:p>
            <w:pPr>
              <w:ind w:firstLine="480"/>
            </w:pPr>
            <w:r>
              <w:rPr>
                <w:rFonts w:ascii="宋体" w:hAnsi="宋体"/>
              </w:rPr>
              <w:t>采取上述措施后，废水最大限度综合利用，不外排。</w:t>
            </w:r>
          </w:p>
          <w:p>
            <w:pPr>
              <w:pStyle w:val="5"/>
            </w:pPr>
            <w:r>
              <w:t>4.1.3施工</w:t>
            </w:r>
            <w:r>
              <w:rPr>
                <w:rFonts w:hint="eastAsia"/>
              </w:rPr>
              <w:t>期噪声污染环节及治理措施</w:t>
            </w:r>
          </w:p>
          <w:p>
            <w:pPr>
              <w:ind w:firstLine="480"/>
              <w:rPr>
                <w:rFonts w:ascii="宋体" w:hAnsi="宋体"/>
              </w:rPr>
            </w:pPr>
            <w:r>
              <w:rPr>
                <w:rFonts w:hint="eastAsia" w:ascii="宋体" w:hAnsi="宋体"/>
              </w:rPr>
              <w:t>根据本项目建设内容及施工特征，施工期噪声主要是施工现场的各类机械设备噪声、物料装卸碰撞噪声、施工人员活动噪声以及物料运输产生的交通噪声等。</w:t>
            </w:r>
          </w:p>
          <w:p>
            <w:pPr>
              <w:ind w:firstLine="480"/>
              <w:rPr>
                <w:rFonts w:ascii="宋体" w:hAnsi="宋体"/>
              </w:rPr>
            </w:pPr>
            <w:r>
              <w:rPr>
                <w:rFonts w:hint="eastAsia" w:ascii="宋体" w:hAnsi="宋体"/>
              </w:rPr>
              <w:t>采取合理安排施工时间与布局，尽可能避免大量高噪声设备同时施工，尽量减少昼夜间休息时段施工；设备选型上尽量采用低噪声设备；按规定操作机械设备，遵守作业规定，减少碰撞噪声；将高噪设备设置于厂房内；加强监督管理的方法进行噪声防治。</w:t>
            </w:r>
          </w:p>
          <w:p>
            <w:pPr>
              <w:pStyle w:val="5"/>
            </w:pPr>
            <w:r>
              <w:t>4.1.4施工</w:t>
            </w:r>
            <w:r>
              <w:rPr>
                <w:rFonts w:hint="eastAsia"/>
              </w:rPr>
              <w:t>期固体废物污染环节及治理措施</w:t>
            </w:r>
          </w:p>
          <w:p>
            <w:pPr>
              <w:ind w:firstLine="480"/>
              <w:rPr>
                <w:rFonts w:ascii="宋体" w:hAnsi="宋体"/>
              </w:rPr>
            </w:pPr>
            <w:r>
              <w:rPr>
                <w:rFonts w:hint="eastAsia" w:ascii="宋体" w:hAnsi="宋体"/>
              </w:rPr>
              <w:t>施工期间固体废物为装修废料及施工人员少量的生活垃圾等。</w:t>
            </w:r>
          </w:p>
          <w:p>
            <w:pPr>
              <w:ind w:firstLine="480"/>
              <w:rPr>
                <w:rFonts w:ascii="宋体" w:hAnsi="宋体"/>
              </w:rPr>
            </w:pPr>
            <w:r>
              <w:rPr>
                <w:rFonts w:hint="eastAsia" w:ascii="宋体" w:hAnsi="宋体"/>
              </w:rPr>
              <w:t>首先应考虑废料的分类回收利用，无法回收的建筑垃圾、弃土置于环卫部门指定的建筑垃圾填埋场；清理场地的杂物及时送到环卫部门指定的建筑垃圾填埋场；对于生活垃圾，集中收集后，定期送环卫部门指定地点。</w:t>
            </w:r>
          </w:p>
          <w:p>
            <w:pPr>
              <w:pStyle w:val="5"/>
            </w:pPr>
            <w:r>
              <w:rPr>
                <w:rFonts w:hint="eastAsia"/>
              </w:rPr>
              <w:t>4</w:t>
            </w:r>
            <w:r>
              <w:t>.1.5</w:t>
            </w:r>
            <w:r>
              <w:rPr>
                <w:rFonts w:hint="eastAsia"/>
              </w:rPr>
              <w:t>施工期生态环境</w:t>
            </w:r>
          </w:p>
          <w:p>
            <w:pPr>
              <w:ind w:firstLine="480"/>
            </w:pPr>
            <w:r>
              <w:rPr>
                <w:rFonts w:hint="eastAsia"/>
              </w:rPr>
              <w:t>施工期基本不对生态环境产生影响。</w:t>
            </w:r>
          </w:p>
          <w:p>
            <w:pPr>
              <w:pStyle w:val="33"/>
              <w:ind w:left="480" w:firstLine="480"/>
            </w:pPr>
          </w:p>
          <w:p>
            <w:pPr>
              <w:pStyle w:val="33"/>
              <w:ind w:left="480" w:firstLine="480"/>
            </w:pPr>
          </w:p>
          <w:p>
            <w:pPr>
              <w:pStyle w:val="33"/>
              <w:ind w:left="480" w:firstLine="480"/>
            </w:pPr>
          </w:p>
          <w:p>
            <w:pPr>
              <w:pStyle w:val="33"/>
              <w:ind w:left="480" w:firstLine="480"/>
            </w:pPr>
          </w:p>
          <w:p>
            <w:pPr>
              <w:pStyle w:val="33"/>
              <w:ind w:left="480" w:firstLine="480"/>
            </w:pPr>
          </w:p>
          <w:p>
            <w:pPr>
              <w:pStyle w:val="33"/>
              <w:ind w:left="480" w:firstLine="480"/>
            </w:pPr>
          </w:p>
          <w:p>
            <w:pPr>
              <w:pStyle w:val="33"/>
              <w:ind w:left="480" w:firstLine="480"/>
            </w:pPr>
          </w:p>
          <w:p>
            <w:pPr>
              <w:pStyle w:val="33"/>
              <w:ind w:left="480" w:firstLine="480"/>
            </w:pPr>
          </w:p>
          <w:p>
            <w:pPr>
              <w:pStyle w:val="33"/>
              <w:ind w:left="480" w:firstLine="480"/>
            </w:pPr>
          </w:p>
          <w:p>
            <w:pPr>
              <w:pStyle w:val="33"/>
              <w:ind w:left="480" w:firstLine="480"/>
            </w:pPr>
          </w:p>
          <w:p>
            <w:pPr>
              <w:pStyle w:val="33"/>
              <w:ind w:left="480" w:firstLine="480"/>
            </w:pPr>
          </w:p>
          <w:p>
            <w:pPr>
              <w:pStyle w:val="33"/>
              <w:ind w:left="480" w:firstLine="480"/>
            </w:pPr>
          </w:p>
        </w:tc>
      </w:tr>
    </w:tbl>
    <w:p>
      <w:pPr>
        <w:ind w:firstLine="480"/>
      </w:pPr>
    </w:p>
    <w:tbl>
      <w:tblPr>
        <w:tblStyle w:val="3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3"/>
        <w:gridCol w:w="84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82" w:hRule="atLeast"/>
          <w:jc w:val="center"/>
        </w:trPr>
        <w:tc>
          <w:tcPr>
            <w:tcW w:w="443" w:type="dxa"/>
            <w:tcMar>
              <w:left w:w="28" w:type="dxa"/>
              <w:right w:w="28" w:type="dxa"/>
            </w:tcMar>
            <w:vAlign w:val="center"/>
          </w:tcPr>
          <w:p>
            <w:pPr>
              <w:adjustRightInd w:val="0"/>
              <w:snapToGrid w:val="0"/>
              <w:ind w:firstLine="0" w:firstLineChars="0"/>
              <w:jc w:val="center"/>
              <w:rPr>
                <w:rFonts w:cs="Times New Roman"/>
                <w:b/>
                <w:szCs w:val="21"/>
              </w:rPr>
            </w:pPr>
            <w:r>
              <w:rPr>
                <w:rFonts w:cs="Times New Roman"/>
                <w:b/>
                <w:szCs w:val="21"/>
              </w:rPr>
              <w:t>运营</w:t>
            </w:r>
          </w:p>
          <w:p>
            <w:pPr>
              <w:adjustRightInd w:val="0"/>
              <w:snapToGrid w:val="0"/>
              <w:ind w:firstLine="0" w:firstLineChars="0"/>
              <w:jc w:val="center"/>
              <w:rPr>
                <w:rFonts w:cs="Times New Roman"/>
                <w:b/>
                <w:szCs w:val="21"/>
              </w:rPr>
            </w:pPr>
            <w:r>
              <w:rPr>
                <w:rFonts w:cs="Times New Roman"/>
                <w:b/>
                <w:szCs w:val="21"/>
              </w:rPr>
              <w:t>期环</w:t>
            </w:r>
          </w:p>
          <w:p>
            <w:pPr>
              <w:adjustRightInd w:val="0"/>
              <w:snapToGrid w:val="0"/>
              <w:ind w:firstLine="0" w:firstLineChars="0"/>
              <w:jc w:val="center"/>
              <w:rPr>
                <w:rFonts w:cs="Times New Roman"/>
                <w:b/>
                <w:szCs w:val="21"/>
              </w:rPr>
            </w:pPr>
            <w:r>
              <w:rPr>
                <w:rFonts w:cs="Times New Roman"/>
                <w:b/>
                <w:szCs w:val="21"/>
              </w:rPr>
              <w:t>境影</w:t>
            </w:r>
          </w:p>
          <w:p>
            <w:pPr>
              <w:adjustRightInd w:val="0"/>
              <w:snapToGrid w:val="0"/>
              <w:ind w:firstLine="0" w:firstLineChars="0"/>
              <w:jc w:val="center"/>
              <w:rPr>
                <w:rFonts w:cs="Times New Roman"/>
                <w:b/>
                <w:szCs w:val="21"/>
              </w:rPr>
            </w:pPr>
            <w:r>
              <w:rPr>
                <w:rFonts w:cs="Times New Roman"/>
                <w:b/>
                <w:szCs w:val="21"/>
              </w:rPr>
              <w:t>响和</w:t>
            </w:r>
          </w:p>
          <w:p>
            <w:pPr>
              <w:adjustRightInd w:val="0"/>
              <w:snapToGrid w:val="0"/>
              <w:ind w:firstLine="0" w:firstLineChars="0"/>
              <w:jc w:val="center"/>
              <w:rPr>
                <w:rFonts w:cs="Times New Roman"/>
                <w:b/>
                <w:szCs w:val="21"/>
              </w:rPr>
            </w:pPr>
            <w:r>
              <w:rPr>
                <w:rFonts w:cs="Times New Roman"/>
                <w:b/>
                <w:szCs w:val="21"/>
              </w:rPr>
              <w:t>保护</w:t>
            </w:r>
          </w:p>
          <w:p>
            <w:pPr>
              <w:adjustRightInd w:val="0"/>
              <w:snapToGrid w:val="0"/>
              <w:ind w:firstLine="0" w:firstLineChars="0"/>
              <w:jc w:val="center"/>
              <w:rPr>
                <w:rFonts w:cs="Times New Roman"/>
                <w:bCs/>
                <w:szCs w:val="21"/>
              </w:rPr>
            </w:pPr>
            <w:r>
              <w:rPr>
                <w:rFonts w:cs="Times New Roman"/>
                <w:b/>
                <w:szCs w:val="21"/>
              </w:rPr>
              <w:t>措施</w:t>
            </w:r>
          </w:p>
        </w:tc>
        <w:tc>
          <w:tcPr>
            <w:tcW w:w="8465" w:type="dxa"/>
          </w:tcPr>
          <w:p>
            <w:pPr>
              <w:pStyle w:val="4"/>
            </w:pPr>
            <w:r>
              <w:rPr>
                <w:rFonts w:hint="eastAsia"/>
              </w:rPr>
              <w:t>4.2大气环境影响和保护措施</w:t>
            </w:r>
          </w:p>
          <w:p>
            <w:pPr>
              <w:ind w:firstLine="480"/>
            </w:pPr>
            <w:r>
              <w:rPr>
                <w:rFonts w:hint="eastAsia"/>
              </w:rPr>
              <w:t>本项目冬季车间不采暖，办公室采用电采暖，不设锅炉。本项目大气污染物主要来自废旧特种金属卸料、剪切和转运产生的扬尘。</w:t>
            </w:r>
          </w:p>
          <w:p>
            <w:pPr>
              <w:pStyle w:val="5"/>
            </w:pPr>
            <w:r>
              <w:rPr>
                <w:rFonts w:hint="eastAsia"/>
              </w:rPr>
              <w:t>4.2.1源强核算及治理措施</w:t>
            </w:r>
          </w:p>
          <w:p>
            <w:pPr>
              <w:pStyle w:val="6"/>
            </w:pPr>
            <w:r>
              <w:rPr>
                <w:rFonts w:hint="eastAsia"/>
              </w:rPr>
              <w:t>4.2.1.1卸料产生的扬尘</w:t>
            </w:r>
          </w:p>
          <w:p>
            <w:pPr>
              <w:ind w:firstLine="480"/>
            </w:pPr>
            <w:r>
              <w:rPr>
                <w:rFonts w:hint="eastAsia"/>
              </w:rPr>
              <w:t>本项目废旧特种</w:t>
            </w:r>
            <w:r>
              <w:rPr>
                <w:rFonts w:hint="eastAsia"/>
                <w:szCs w:val="24"/>
              </w:rPr>
              <w:t>金属采用吨袋包装，在卸料过程中会产生一定量的扬尘。</w:t>
            </w:r>
          </w:p>
          <w:p>
            <w:pPr>
              <w:ind w:left="480" w:firstLine="0" w:firstLineChars="0"/>
            </w:pPr>
            <w:r>
              <w:rPr>
                <w:rFonts w:hint="eastAsia"/>
              </w:rPr>
              <w:t>A.污染治理措施</w:t>
            </w:r>
          </w:p>
          <w:p>
            <w:pPr>
              <w:ind w:firstLine="480"/>
              <w:rPr>
                <w:rFonts w:hint="eastAsia" w:eastAsia="宋体"/>
                <w:lang w:eastAsia="zh-CN"/>
              </w:rPr>
            </w:pPr>
            <w:r>
              <w:rPr>
                <w:rFonts w:hint="eastAsia"/>
              </w:rPr>
              <w:t>废旧特种</w:t>
            </w:r>
            <w:r>
              <w:rPr>
                <w:rFonts w:hint="eastAsia"/>
                <w:szCs w:val="24"/>
              </w:rPr>
              <w:t>金属</w:t>
            </w:r>
            <w:r>
              <w:rPr>
                <w:rFonts w:hint="eastAsia"/>
              </w:rPr>
              <w:t>卸料在封闭式车间内进行；废旧特种</w:t>
            </w:r>
            <w:r>
              <w:rPr>
                <w:rFonts w:hint="eastAsia"/>
                <w:szCs w:val="24"/>
              </w:rPr>
              <w:t>金属采用吨袋包装，</w:t>
            </w:r>
            <w:r>
              <w:rPr>
                <w:rFonts w:hint="eastAsia"/>
              </w:rPr>
              <w:t>落料时，离地面高度不得大于0.3m；废旧特种</w:t>
            </w:r>
            <w:r>
              <w:rPr>
                <w:rFonts w:hint="eastAsia"/>
                <w:szCs w:val="24"/>
              </w:rPr>
              <w:t>金属</w:t>
            </w:r>
            <w:r>
              <w:rPr>
                <w:rFonts w:hint="eastAsia"/>
              </w:rPr>
              <w:t>堆放高度大于3m时，不得继续堆料，需另起堆料点；车间定期清扫。厂区西北角设扬尘实时在线监测设备</w:t>
            </w:r>
            <w:r>
              <w:rPr>
                <w:rFonts w:hint="eastAsia"/>
                <w:lang w:eastAsia="zh-CN"/>
              </w:rPr>
              <w:t>。</w:t>
            </w:r>
          </w:p>
          <w:p>
            <w:pPr>
              <w:ind w:firstLine="480"/>
            </w:pPr>
            <w:r>
              <w:rPr>
                <w:rFonts w:hint="eastAsia"/>
              </w:rPr>
              <w:t>B.</w:t>
            </w:r>
            <w:r>
              <w:t>污染物产排情况计算</w:t>
            </w:r>
          </w:p>
          <w:p>
            <w:pPr>
              <w:ind w:firstLine="480"/>
              <w:rPr>
                <w:kern w:val="0"/>
              </w:rPr>
            </w:pPr>
            <w:r>
              <w:rPr>
                <w:rFonts w:hint="eastAsia"/>
              </w:rPr>
              <w:t>卸料扬尘产生量计算采用《扬尘源颗粒物排放清单编制技术指南》中装卸、运输物料工程扬尘排放系数的估算：</w:t>
            </w:r>
          </w:p>
          <w:p>
            <w:pPr>
              <w:pStyle w:val="2"/>
              <w:spacing w:line="500" w:lineRule="exact"/>
              <w:ind w:firstLine="480"/>
              <w:rPr>
                <w:kern w:val="0"/>
              </w:rPr>
            </w:pPr>
            <w:r>
              <w:rPr>
                <w:rFonts w:hint="eastAsia"/>
                <w:kern w:val="0"/>
              </w:rPr>
              <w:drawing>
                <wp:anchor distT="0" distB="0" distL="114300" distR="114300" simplePos="0" relativeHeight="251659264" behindDoc="1" locked="0" layoutInCell="1" allowOverlap="1">
                  <wp:simplePos x="0" y="0"/>
                  <wp:positionH relativeFrom="column">
                    <wp:posOffset>1079500</wp:posOffset>
                  </wp:positionH>
                  <wp:positionV relativeFrom="paragraph">
                    <wp:posOffset>31115</wp:posOffset>
                  </wp:positionV>
                  <wp:extent cx="2400935" cy="818515"/>
                  <wp:effectExtent l="0" t="0" r="18415" b="635"/>
                  <wp:wrapNone/>
                  <wp:docPr id="10" name="图片 4" descr="1620379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1620379243(1)"/>
                          <pic:cNvPicPr>
                            <a:picLocks noChangeAspect="1"/>
                          </pic:cNvPicPr>
                        </pic:nvPicPr>
                        <pic:blipFill>
                          <a:blip r:embed="rId32"/>
                          <a:srcRect r="24531"/>
                          <a:stretch>
                            <a:fillRect/>
                          </a:stretch>
                        </pic:blipFill>
                        <pic:spPr>
                          <a:xfrm>
                            <a:off x="0" y="0"/>
                            <a:ext cx="2400935" cy="818515"/>
                          </a:xfrm>
                          <a:prstGeom prst="rect">
                            <a:avLst/>
                          </a:prstGeom>
                          <a:noFill/>
                          <a:ln>
                            <a:noFill/>
                          </a:ln>
                        </pic:spPr>
                      </pic:pic>
                    </a:graphicData>
                  </a:graphic>
                </wp:anchor>
              </w:drawing>
            </w:r>
          </w:p>
          <w:p>
            <w:pPr>
              <w:pStyle w:val="2"/>
              <w:spacing w:line="500" w:lineRule="exact"/>
              <w:ind w:firstLine="480"/>
              <w:rPr>
                <w:kern w:val="0"/>
              </w:rPr>
            </w:pPr>
          </w:p>
          <w:p>
            <w:pPr>
              <w:pStyle w:val="2"/>
              <w:spacing w:line="500" w:lineRule="exact"/>
              <w:ind w:firstLine="480"/>
              <w:rPr>
                <w:kern w:val="0"/>
              </w:rPr>
            </w:pPr>
          </w:p>
          <w:p>
            <w:pPr>
              <w:ind w:firstLine="480"/>
            </w:pPr>
            <w:r>
              <w:rPr>
                <w:rFonts w:hint="eastAsia"/>
              </w:rPr>
              <w:t>式中：E</w:t>
            </w:r>
            <w:r>
              <w:rPr>
                <w:rFonts w:hint="eastAsia"/>
                <w:vertAlign w:val="subscript"/>
              </w:rPr>
              <w:t>h</w:t>
            </w:r>
            <w:r>
              <w:rPr>
                <w:rFonts w:hint="eastAsia"/>
              </w:rPr>
              <w:t>—堆场装卸扬尘的排放系数，kg/t。</w:t>
            </w:r>
          </w:p>
          <w:p>
            <w:pPr>
              <w:ind w:firstLine="1200" w:firstLineChars="500"/>
            </w:pPr>
            <w:r>
              <w:rPr>
                <w:rFonts w:hint="eastAsia"/>
              </w:rPr>
              <w:t>k</w:t>
            </w:r>
            <w:r>
              <w:rPr>
                <w:rFonts w:hint="eastAsia"/>
                <w:vertAlign w:val="subscript"/>
              </w:rPr>
              <w:t>i</w:t>
            </w:r>
            <w:r>
              <w:rPr>
                <w:rFonts w:hint="eastAsia"/>
              </w:rPr>
              <w:t>—物料的粒度乘数，0.74；</w:t>
            </w:r>
          </w:p>
          <w:p>
            <w:pPr>
              <w:ind w:firstLine="1200" w:firstLineChars="500"/>
            </w:pPr>
            <w:r>
              <w:rPr>
                <w:rFonts w:hint="eastAsia"/>
              </w:rPr>
              <w:t>u—地面平均风速，m/s，3.7；</w:t>
            </w:r>
          </w:p>
          <w:p>
            <w:pPr>
              <w:ind w:firstLine="1200" w:firstLineChars="500"/>
            </w:pPr>
            <w:r>
              <w:rPr>
                <w:rFonts w:hint="eastAsia"/>
              </w:rPr>
              <w:t>M—物料含水率，%，5.0。</w:t>
            </w:r>
          </w:p>
          <w:p>
            <w:pPr>
              <w:ind w:firstLine="480"/>
            </w:pPr>
            <w:r>
              <w:rPr>
                <w:rFonts w:hint="eastAsia"/>
              </w:rPr>
              <w:t>本项目年装卸5万吨废旧特种金属，根据上式，装卸过程中扬尘产生量为0.0006kg/t，0.032t/a。</w:t>
            </w:r>
          </w:p>
          <w:p>
            <w:pPr>
              <w:pStyle w:val="2"/>
              <w:ind w:firstLine="480"/>
            </w:pPr>
            <w:r>
              <w:rPr>
                <w:rFonts w:hint="eastAsia"/>
                <w:lang w:bidi="zh-CN"/>
              </w:rPr>
              <w:t>在采取上述措施后，可有效减少60%扬尘排放，则卸料扬尘排放量为0.013t/a，以无组织形式排放量。</w:t>
            </w:r>
          </w:p>
          <w:p>
            <w:pPr>
              <w:pStyle w:val="6"/>
            </w:pPr>
            <w:r>
              <w:rPr>
                <w:rFonts w:hint="eastAsia"/>
              </w:rPr>
              <w:t>4.2.1.2剪切产生的粉尘</w:t>
            </w:r>
          </w:p>
          <w:p>
            <w:pPr>
              <w:ind w:firstLine="480"/>
            </w:pPr>
            <w:r>
              <w:rPr>
                <w:rFonts w:hint="eastAsia"/>
              </w:rPr>
              <w:t>项目在剪切过程中会产生扬尘，年剪切废旧特种金属5万吨。</w:t>
            </w:r>
          </w:p>
          <w:p>
            <w:pPr>
              <w:ind w:left="480" w:firstLine="0" w:firstLineChars="0"/>
            </w:pPr>
            <w:r>
              <w:rPr>
                <w:rFonts w:hint="eastAsia"/>
              </w:rPr>
              <w:t>A.污染治理措施</w:t>
            </w:r>
          </w:p>
          <w:p>
            <w:pPr>
              <w:ind w:firstLine="480"/>
            </w:pPr>
            <w:r>
              <w:rPr>
                <w:rFonts w:hint="eastAsia"/>
              </w:rPr>
              <w:t>废旧特种</w:t>
            </w:r>
            <w:r>
              <w:rPr>
                <w:rFonts w:hint="eastAsia"/>
                <w:szCs w:val="24"/>
              </w:rPr>
              <w:t>金属</w:t>
            </w:r>
            <w:r>
              <w:rPr>
                <w:rFonts w:hint="eastAsia"/>
              </w:rPr>
              <w:t>剪切在封闭式车间内进行，车间定期清扫。</w:t>
            </w:r>
          </w:p>
          <w:p>
            <w:pPr>
              <w:ind w:firstLine="480"/>
            </w:pPr>
            <w:r>
              <w:rPr>
                <w:rFonts w:hint="eastAsia"/>
              </w:rPr>
              <w:t>B.</w:t>
            </w:r>
            <w:r>
              <w:t>污染物产排情况计算</w:t>
            </w:r>
          </w:p>
          <w:p>
            <w:pPr>
              <w:ind w:firstLine="480"/>
            </w:pPr>
            <w:r>
              <w:rPr>
                <w:rFonts w:hint="eastAsia"/>
              </w:rPr>
              <w:t>根据《排放源统计调查产排污核算方法和系数手册》中“废弃资源综合利用行业系数手册-金属废料和碎屑加工处理行业系数手册-废钢铁剪切产污系数为7.2g/t</w:t>
            </w:r>
            <w:r>
              <w:rPr>
                <w:rFonts w:cs="Times New Roman"/>
              </w:rPr>
              <w:t>·</w:t>
            </w:r>
            <w:r>
              <w:rPr>
                <w:rFonts w:hint="eastAsia"/>
              </w:rPr>
              <w:t>原料”，本项目年剪切废旧特种金属5万吨，则扬尘产生量为0.36t/a。</w:t>
            </w:r>
          </w:p>
          <w:p>
            <w:pPr>
              <w:pStyle w:val="2"/>
              <w:ind w:firstLine="480"/>
            </w:pPr>
            <w:r>
              <w:rPr>
                <w:rFonts w:hint="eastAsia"/>
                <w:lang w:bidi="zh-CN"/>
              </w:rPr>
              <w:t>在采取上述措施后，可有效减少60%扬尘排放，则剪切扬尘排放量为0.144t/a，以无组织形式排放量。</w:t>
            </w:r>
          </w:p>
          <w:p>
            <w:pPr>
              <w:pStyle w:val="6"/>
            </w:pPr>
            <w:r>
              <w:rPr>
                <w:rFonts w:hint="eastAsia"/>
              </w:rPr>
              <w:t>4.2.1.3转运扬尘</w:t>
            </w:r>
          </w:p>
          <w:p>
            <w:pPr>
              <w:ind w:firstLine="480"/>
            </w:pPr>
            <w:r>
              <w:rPr>
                <w:rFonts w:hint="eastAsia"/>
              </w:rPr>
              <w:t>本项目废旧特种金属表面含矿物质油，且在库房储存周期较短。在使用行吊转运过程中，严格要求工作人员转运过程中特种金属落料离地面高度不得大于0.3m。采取上述措施后，废旧特种金属转运过程中扬尘产生量较小，可忽略不计。</w:t>
            </w:r>
          </w:p>
          <w:p>
            <w:pPr>
              <w:pStyle w:val="6"/>
            </w:pPr>
            <w:r>
              <w:rPr>
                <w:rFonts w:hint="eastAsia"/>
              </w:rPr>
              <w:t>4.2.1.4食堂油烟</w:t>
            </w:r>
          </w:p>
          <w:p>
            <w:pPr>
              <w:ind w:firstLine="480"/>
            </w:pPr>
            <w:r>
              <w:rPr>
                <w:rFonts w:hint="eastAsia"/>
              </w:rPr>
              <w:t>本项目员工拟计划在盛泰源食堂就餐，就餐人数约15人。盛泰源就餐人数约120人。食物在烹饪过程中会产生油烟。</w:t>
            </w:r>
          </w:p>
          <w:p>
            <w:pPr>
              <w:ind w:left="480" w:firstLine="0" w:firstLineChars="0"/>
            </w:pPr>
            <w:r>
              <w:rPr>
                <w:rFonts w:hint="eastAsia"/>
              </w:rPr>
              <w:t>A.污染治理措施</w:t>
            </w:r>
          </w:p>
          <w:p>
            <w:pPr>
              <w:ind w:firstLine="480"/>
              <w:rPr>
                <w:rFonts w:eastAsia="黑体"/>
              </w:rPr>
            </w:pPr>
            <w:r>
              <w:rPr>
                <w:rFonts w:hint="eastAsia"/>
              </w:rPr>
              <w:t>盛泰源</w:t>
            </w:r>
            <w:r>
              <w:rPr>
                <w:rFonts w:hAnsi="黑体"/>
                <w:szCs w:val="21"/>
              </w:rPr>
              <w:t>食堂油烟采用油烟净化装置，排气筒高</w:t>
            </w:r>
            <w:r>
              <w:rPr>
                <w:szCs w:val="21"/>
              </w:rPr>
              <w:t>8m</w:t>
            </w:r>
            <w:r>
              <w:rPr>
                <w:rFonts w:hint="eastAsia"/>
                <w:szCs w:val="21"/>
              </w:rPr>
              <w:t>。</w:t>
            </w:r>
          </w:p>
          <w:p>
            <w:pPr>
              <w:ind w:firstLine="480"/>
            </w:pPr>
            <w:r>
              <w:rPr>
                <w:rFonts w:hint="eastAsia"/>
              </w:rPr>
              <w:t>B.</w:t>
            </w:r>
            <w:r>
              <w:t>污染物产排情况计算</w:t>
            </w:r>
          </w:p>
          <w:p>
            <w:pPr>
              <w:ind w:firstLine="480"/>
            </w:pPr>
            <w:r>
              <w:rPr>
                <w:rFonts w:hint="eastAsia"/>
              </w:rPr>
              <w:t>根据对餐饮企业的类比调查，目前人均日耗食用油量约30g。本项目就餐人约15人，年工作300天，则本项目年耗食用油量0.14t。</w:t>
            </w:r>
          </w:p>
          <w:p>
            <w:pPr>
              <w:ind w:firstLine="480"/>
            </w:pPr>
            <w:r>
              <w:rPr>
                <w:rFonts w:hint="eastAsia"/>
              </w:rPr>
              <w:t>本项目员工在盛泰源食堂就餐后，盛泰源年耗食用油为4.892t/a（按135人计）。环评参照《社会区域类环境影响评价》中房地产项目给出炉灶油烟等污染物排放因子，油烟3.815kg/t食用油。经计算，油烟产生量为18.66kg/a，产生浓度为4.71mg/Nm</w:t>
            </w:r>
            <w:r>
              <w:rPr>
                <w:rFonts w:hint="eastAsia"/>
                <w:vertAlign w:val="superscript"/>
              </w:rPr>
              <w:t>3</w:t>
            </w:r>
            <w:r>
              <w:rPr>
                <w:rFonts w:hint="eastAsia"/>
              </w:rPr>
              <w:t>。经油烟净化器处理后，油烟排放量为7.46kg/a，排放浓度为1.88mg/Nm</w:t>
            </w:r>
            <w:r>
              <w:rPr>
                <w:rFonts w:hint="eastAsia"/>
                <w:vertAlign w:val="superscript"/>
              </w:rPr>
              <w:t>3</w:t>
            </w:r>
            <w:r>
              <w:rPr>
                <w:rFonts w:hint="eastAsia"/>
              </w:rPr>
              <w:t>，满足《饮食业油烟排放标准（试行）》（GB18483-2001）标准，即最高允许排放2.0mg/m</w:t>
            </w:r>
            <w:r>
              <w:rPr>
                <w:rFonts w:hint="eastAsia"/>
                <w:vertAlign w:val="superscript"/>
              </w:rPr>
              <w:t>3</w:t>
            </w:r>
            <w:r>
              <w:rPr>
                <w:rFonts w:hint="eastAsia"/>
              </w:rPr>
              <w:t>，处理效率不低于60%。</w:t>
            </w:r>
          </w:p>
          <w:p>
            <w:pPr>
              <w:ind w:firstLine="480"/>
            </w:pPr>
            <w:r>
              <w:rPr>
                <w:rFonts w:hint="eastAsia"/>
              </w:rPr>
              <w:t>全厂废气污染源强核算结果及相关参数一览表，见表4-1。</w:t>
            </w:r>
          </w:p>
          <w:p>
            <w:pPr>
              <w:spacing w:line="240" w:lineRule="auto"/>
              <w:ind w:firstLine="0" w:firstLineChars="0"/>
              <w:jc w:val="center"/>
              <w:rPr>
                <w:b/>
                <w:bCs/>
                <w:sz w:val="21"/>
              </w:rPr>
            </w:pPr>
            <w:r>
              <w:rPr>
                <w:rFonts w:hint="eastAsia"/>
                <w:b/>
                <w:bCs/>
                <w:sz w:val="21"/>
              </w:rPr>
              <w:t>表4-1  全厂废气污染源强核算结果及相关参数一览表</w:t>
            </w:r>
          </w:p>
          <w:tbl>
            <w:tblPr>
              <w:tblStyle w:val="35"/>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8"/>
              <w:gridCol w:w="876"/>
              <w:gridCol w:w="860"/>
              <w:gridCol w:w="854"/>
              <w:gridCol w:w="3170"/>
              <w:gridCol w:w="734"/>
              <w:gridCol w:w="9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8" w:type="dxa"/>
                  <w:vMerge w:val="restart"/>
                  <w:tcBorders>
                    <w:tl2br w:val="nil"/>
                    <w:tr2bl w:val="nil"/>
                  </w:tcBorders>
                  <w:vAlign w:val="center"/>
                </w:tcPr>
                <w:p>
                  <w:pPr>
                    <w:spacing w:line="240" w:lineRule="auto"/>
                    <w:ind w:firstLine="0" w:firstLineChars="0"/>
                    <w:jc w:val="center"/>
                    <w:rPr>
                      <w:b/>
                      <w:bCs/>
                      <w:sz w:val="21"/>
                    </w:rPr>
                  </w:pPr>
                  <w:r>
                    <w:rPr>
                      <w:rFonts w:hint="eastAsia"/>
                      <w:b/>
                      <w:bCs/>
                      <w:sz w:val="21"/>
                    </w:rPr>
                    <w:t>产污环节</w:t>
                  </w:r>
                </w:p>
              </w:tc>
              <w:tc>
                <w:tcPr>
                  <w:tcW w:w="876" w:type="dxa"/>
                  <w:vMerge w:val="restart"/>
                  <w:tcBorders>
                    <w:tl2br w:val="nil"/>
                    <w:tr2bl w:val="nil"/>
                  </w:tcBorders>
                  <w:vAlign w:val="center"/>
                </w:tcPr>
                <w:p>
                  <w:pPr>
                    <w:spacing w:line="240" w:lineRule="auto"/>
                    <w:ind w:firstLine="0" w:firstLineChars="0"/>
                    <w:jc w:val="center"/>
                    <w:rPr>
                      <w:b/>
                      <w:bCs/>
                      <w:sz w:val="21"/>
                    </w:rPr>
                  </w:pPr>
                  <w:r>
                    <w:rPr>
                      <w:rFonts w:hint="eastAsia"/>
                      <w:b/>
                      <w:bCs/>
                      <w:sz w:val="21"/>
                    </w:rPr>
                    <w:t>污染物种类</w:t>
                  </w:r>
                </w:p>
              </w:tc>
              <w:tc>
                <w:tcPr>
                  <w:tcW w:w="860" w:type="dxa"/>
                  <w:vMerge w:val="restart"/>
                  <w:tcBorders>
                    <w:tl2br w:val="nil"/>
                    <w:tr2bl w:val="nil"/>
                  </w:tcBorders>
                  <w:vAlign w:val="center"/>
                </w:tcPr>
                <w:p>
                  <w:pPr>
                    <w:spacing w:line="240" w:lineRule="auto"/>
                    <w:ind w:firstLine="0" w:firstLineChars="0"/>
                    <w:jc w:val="center"/>
                    <w:rPr>
                      <w:b/>
                      <w:bCs/>
                      <w:sz w:val="21"/>
                    </w:rPr>
                  </w:pPr>
                  <w:r>
                    <w:rPr>
                      <w:rFonts w:hint="eastAsia"/>
                      <w:b/>
                      <w:bCs/>
                      <w:sz w:val="21"/>
                    </w:rPr>
                    <w:t>产生量</w:t>
                  </w:r>
                </w:p>
                <w:p>
                  <w:pPr>
                    <w:spacing w:line="240" w:lineRule="auto"/>
                    <w:ind w:firstLine="0" w:firstLineChars="0"/>
                    <w:jc w:val="center"/>
                    <w:rPr>
                      <w:b/>
                      <w:bCs/>
                      <w:sz w:val="21"/>
                    </w:rPr>
                  </w:pPr>
                  <w:r>
                    <w:rPr>
                      <w:rFonts w:hint="eastAsia"/>
                      <w:b/>
                      <w:bCs/>
                      <w:sz w:val="21"/>
                    </w:rPr>
                    <w:t>（t/a）</w:t>
                  </w:r>
                </w:p>
              </w:tc>
              <w:tc>
                <w:tcPr>
                  <w:tcW w:w="854" w:type="dxa"/>
                  <w:vMerge w:val="restart"/>
                  <w:tcBorders>
                    <w:tl2br w:val="nil"/>
                    <w:tr2bl w:val="nil"/>
                  </w:tcBorders>
                  <w:vAlign w:val="center"/>
                </w:tcPr>
                <w:p>
                  <w:pPr>
                    <w:spacing w:line="240" w:lineRule="auto"/>
                    <w:ind w:firstLine="0" w:firstLineChars="0"/>
                    <w:jc w:val="center"/>
                    <w:rPr>
                      <w:b/>
                      <w:bCs/>
                      <w:sz w:val="21"/>
                    </w:rPr>
                  </w:pPr>
                  <w:r>
                    <w:rPr>
                      <w:rFonts w:hint="eastAsia"/>
                      <w:b/>
                      <w:bCs/>
                      <w:sz w:val="21"/>
                    </w:rPr>
                    <w:t>排放</w:t>
                  </w:r>
                </w:p>
                <w:p>
                  <w:pPr>
                    <w:spacing w:line="240" w:lineRule="auto"/>
                    <w:ind w:firstLine="0" w:firstLineChars="0"/>
                    <w:jc w:val="center"/>
                    <w:rPr>
                      <w:b/>
                      <w:bCs/>
                      <w:sz w:val="21"/>
                    </w:rPr>
                  </w:pPr>
                  <w:r>
                    <w:rPr>
                      <w:rFonts w:hint="eastAsia"/>
                      <w:b/>
                      <w:bCs/>
                      <w:sz w:val="21"/>
                    </w:rPr>
                    <w:t>形式</w:t>
                  </w:r>
                </w:p>
              </w:tc>
              <w:tc>
                <w:tcPr>
                  <w:tcW w:w="3904" w:type="dxa"/>
                  <w:gridSpan w:val="2"/>
                  <w:tcBorders>
                    <w:tl2br w:val="nil"/>
                    <w:tr2bl w:val="nil"/>
                  </w:tcBorders>
                  <w:vAlign w:val="center"/>
                </w:tcPr>
                <w:p>
                  <w:pPr>
                    <w:spacing w:line="240" w:lineRule="auto"/>
                    <w:ind w:firstLine="0" w:firstLineChars="0"/>
                    <w:jc w:val="center"/>
                    <w:rPr>
                      <w:b/>
                      <w:bCs/>
                      <w:sz w:val="21"/>
                    </w:rPr>
                  </w:pPr>
                  <w:r>
                    <w:rPr>
                      <w:rFonts w:hint="eastAsia"/>
                      <w:b/>
                      <w:bCs/>
                      <w:sz w:val="21"/>
                    </w:rPr>
                    <w:t>治理施设</w:t>
                  </w:r>
                </w:p>
              </w:tc>
              <w:tc>
                <w:tcPr>
                  <w:tcW w:w="917" w:type="dxa"/>
                  <w:vMerge w:val="restart"/>
                  <w:tcBorders>
                    <w:tl2br w:val="nil"/>
                    <w:tr2bl w:val="nil"/>
                  </w:tcBorders>
                  <w:vAlign w:val="center"/>
                </w:tcPr>
                <w:p>
                  <w:pPr>
                    <w:spacing w:line="240" w:lineRule="auto"/>
                    <w:ind w:firstLine="0" w:firstLineChars="0"/>
                    <w:jc w:val="center"/>
                    <w:rPr>
                      <w:b/>
                      <w:bCs/>
                      <w:sz w:val="21"/>
                    </w:rPr>
                  </w:pPr>
                  <w:r>
                    <w:rPr>
                      <w:rFonts w:hint="eastAsia"/>
                      <w:b/>
                      <w:bCs/>
                      <w:sz w:val="21"/>
                    </w:rPr>
                    <w:t>排放量</w:t>
                  </w:r>
                </w:p>
                <w:p>
                  <w:pPr>
                    <w:pStyle w:val="42"/>
                    <w:autoSpaceDE/>
                    <w:autoSpaceDN/>
                    <w:adjustRightInd/>
                    <w:spacing w:line="240" w:lineRule="auto"/>
                    <w:ind w:firstLine="0" w:firstLineChars="0"/>
                    <w:jc w:val="center"/>
                    <w:rPr>
                      <w:b/>
                      <w:bCs/>
                      <w:color w:val="auto"/>
                      <w:sz w:val="21"/>
                    </w:rPr>
                  </w:pPr>
                  <w:r>
                    <w:rPr>
                      <w:rFonts w:hint="eastAsia"/>
                      <w:b/>
                      <w:bCs/>
                      <w:color w:val="auto"/>
                      <w:sz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838" w:type="dxa"/>
                  <w:vMerge w:val="continue"/>
                  <w:tcBorders>
                    <w:bottom w:val="single" w:color="auto" w:sz="12" w:space="0"/>
                    <w:tl2br w:val="nil"/>
                    <w:tr2bl w:val="nil"/>
                  </w:tcBorders>
                  <w:vAlign w:val="center"/>
                </w:tcPr>
                <w:p>
                  <w:pPr>
                    <w:spacing w:line="240" w:lineRule="auto"/>
                    <w:ind w:firstLine="0" w:firstLineChars="0"/>
                    <w:jc w:val="center"/>
                    <w:rPr>
                      <w:sz w:val="21"/>
                    </w:rPr>
                  </w:pPr>
                </w:p>
              </w:tc>
              <w:tc>
                <w:tcPr>
                  <w:tcW w:w="876" w:type="dxa"/>
                  <w:vMerge w:val="continue"/>
                  <w:tcBorders>
                    <w:bottom w:val="single" w:color="auto" w:sz="12" w:space="0"/>
                    <w:tl2br w:val="nil"/>
                    <w:tr2bl w:val="nil"/>
                  </w:tcBorders>
                  <w:vAlign w:val="center"/>
                </w:tcPr>
                <w:p>
                  <w:pPr>
                    <w:spacing w:line="240" w:lineRule="auto"/>
                    <w:ind w:firstLine="0" w:firstLineChars="0"/>
                    <w:jc w:val="center"/>
                    <w:rPr>
                      <w:sz w:val="21"/>
                    </w:rPr>
                  </w:pPr>
                </w:p>
              </w:tc>
              <w:tc>
                <w:tcPr>
                  <w:tcW w:w="860" w:type="dxa"/>
                  <w:vMerge w:val="continue"/>
                  <w:tcBorders>
                    <w:bottom w:val="single" w:color="auto" w:sz="12" w:space="0"/>
                    <w:tl2br w:val="nil"/>
                    <w:tr2bl w:val="nil"/>
                  </w:tcBorders>
                  <w:vAlign w:val="center"/>
                </w:tcPr>
                <w:p>
                  <w:pPr>
                    <w:spacing w:line="240" w:lineRule="auto"/>
                    <w:ind w:firstLine="0" w:firstLineChars="0"/>
                    <w:jc w:val="center"/>
                    <w:rPr>
                      <w:sz w:val="21"/>
                    </w:rPr>
                  </w:pPr>
                </w:p>
              </w:tc>
              <w:tc>
                <w:tcPr>
                  <w:tcW w:w="854" w:type="dxa"/>
                  <w:vMerge w:val="continue"/>
                  <w:tcBorders>
                    <w:bottom w:val="single" w:color="auto" w:sz="12" w:space="0"/>
                    <w:tl2br w:val="nil"/>
                    <w:tr2bl w:val="nil"/>
                  </w:tcBorders>
                  <w:vAlign w:val="center"/>
                </w:tcPr>
                <w:p>
                  <w:pPr>
                    <w:spacing w:line="240" w:lineRule="auto"/>
                    <w:ind w:firstLine="0" w:firstLineChars="0"/>
                    <w:jc w:val="center"/>
                    <w:rPr>
                      <w:sz w:val="21"/>
                    </w:rPr>
                  </w:pPr>
                </w:p>
              </w:tc>
              <w:tc>
                <w:tcPr>
                  <w:tcW w:w="3170" w:type="dxa"/>
                  <w:tcBorders>
                    <w:bottom w:val="single" w:color="auto" w:sz="12" w:space="0"/>
                    <w:tl2br w:val="nil"/>
                    <w:tr2bl w:val="nil"/>
                  </w:tcBorders>
                  <w:vAlign w:val="center"/>
                </w:tcPr>
                <w:p>
                  <w:pPr>
                    <w:spacing w:line="240" w:lineRule="auto"/>
                    <w:ind w:firstLine="0" w:firstLineChars="0"/>
                    <w:jc w:val="center"/>
                    <w:rPr>
                      <w:b/>
                      <w:bCs/>
                      <w:sz w:val="21"/>
                    </w:rPr>
                  </w:pPr>
                  <w:r>
                    <w:rPr>
                      <w:rFonts w:hint="eastAsia"/>
                      <w:b/>
                      <w:bCs/>
                      <w:sz w:val="21"/>
                    </w:rPr>
                    <w:t>工艺</w:t>
                  </w:r>
                </w:p>
              </w:tc>
              <w:tc>
                <w:tcPr>
                  <w:tcW w:w="734" w:type="dxa"/>
                  <w:tcBorders>
                    <w:bottom w:val="single" w:color="auto" w:sz="12" w:space="0"/>
                    <w:tl2br w:val="nil"/>
                    <w:tr2bl w:val="nil"/>
                  </w:tcBorders>
                  <w:vAlign w:val="center"/>
                </w:tcPr>
                <w:p>
                  <w:pPr>
                    <w:spacing w:line="240" w:lineRule="auto"/>
                    <w:ind w:firstLine="0" w:firstLineChars="0"/>
                    <w:jc w:val="center"/>
                    <w:rPr>
                      <w:b/>
                      <w:bCs/>
                      <w:sz w:val="21"/>
                    </w:rPr>
                  </w:pPr>
                  <w:r>
                    <w:rPr>
                      <w:rFonts w:hint="eastAsia"/>
                      <w:b/>
                      <w:bCs/>
                      <w:sz w:val="21"/>
                    </w:rPr>
                    <w:t>处理效率</w:t>
                  </w:r>
                </w:p>
              </w:tc>
              <w:tc>
                <w:tcPr>
                  <w:tcW w:w="917" w:type="dxa"/>
                  <w:vMerge w:val="continue"/>
                  <w:tcBorders>
                    <w:bottom w:val="single" w:color="auto" w:sz="12" w:space="0"/>
                    <w:tl2br w:val="nil"/>
                    <w:tr2bl w:val="nil"/>
                  </w:tcBorders>
                  <w:vAlign w:val="center"/>
                </w:tcPr>
                <w:p>
                  <w:pPr>
                    <w:spacing w:line="240" w:lineRule="auto"/>
                    <w:ind w:firstLine="0" w:firstLineChars="0"/>
                    <w:jc w:val="center"/>
                    <w:rPr>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8" w:type="dxa"/>
                  <w:tcBorders>
                    <w:top w:val="single" w:color="auto" w:sz="12" w:space="0"/>
                  </w:tcBorders>
                  <w:vAlign w:val="center"/>
                </w:tcPr>
                <w:p>
                  <w:pPr>
                    <w:spacing w:line="240" w:lineRule="auto"/>
                    <w:ind w:firstLine="0" w:firstLineChars="0"/>
                    <w:jc w:val="center"/>
                    <w:rPr>
                      <w:sz w:val="21"/>
                    </w:rPr>
                  </w:pPr>
                  <w:r>
                    <w:rPr>
                      <w:rFonts w:hint="eastAsia"/>
                      <w:sz w:val="21"/>
                    </w:rPr>
                    <w:t>卸料</w:t>
                  </w:r>
                </w:p>
              </w:tc>
              <w:tc>
                <w:tcPr>
                  <w:tcW w:w="876" w:type="dxa"/>
                  <w:tcBorders>
                    <w:top w:val="single" w:color="auto" w:sz="12" w:space="0"/>
                  </w:tcBorders>
                  <w:vAlign w:val="center"/>
                </w:tcPr>
                <w:p>
                  <w:pPr>
                    <w:spacing w:line="240" w:lineRule="auto"/>
                    <w:ind w:firstLine="0" w:firstLineChars="0"/>
                    <w:jc w:val="center"/>
                    <w:rPr>
                      <w:sz w:val="21"/>
                    </w:rPr>
                  </w:pPr>
                  <w:r>
                    <w:rPr>
                      <w:rFonts w:hint="eastAsia"/>
                      <w:sz w:val="21"/>
                    </w:rPr>
                    <w:t>扬尘</w:t>
                  </w:r>
                </w:p>
              </w:tc>
              <w:tc>
                <w:tcPr>
                  <w:tcW w:w="860" w:type="dxa"/>
                  <w:tcBorders>
                    <w:top w:val="single" w:color="auto" w:sz="12" w:space="0"/>
                  </w:tcBorders>
                  <w:vAlign w:val="center"/>
                </w:tcPr>
                <w:p>
                  <w:pPr>
                    <w:spacing w:line="240" w:lineRule="auto"/>
                    <w:ind w:firstLine="0" w:firstLineChars="0"/>
                    <w:jc w:val="center"/>
                    <w:rPr>
                      <w:sz w:val="21"/>
                    </w:rPr>
                  </w:pPr>
                  <w:r>
                    <w:rPr>
                      <w:rFonts w:hint="eastAsia"/>
                      <w:sz w:val="21"/>
                    </w:rPr>
                    <w:t>0.032</w:t>
                  </w:r>
                </w:p>
              </w:tc>
              <w:tc>
                <w:tcPr>
                  <w:tcW w:w="854" w:type="dxa"/>
                  <w:tcBorders>
                    <w:top w:val="single" w:color="auto" w:sz="12" w:space="0"/>
                  </w:tcBorders>
                  <w:vAlign w:val="center"/>
                </w:tcPr>
                <w:p>
                  <w:pPr>
                    <w:spacing w:line="240" w:lineRule="auto"/>
                    <w:ind w:firstLine="0" w:firstLineChars="0"/>
                    <w:jc w:val="center"/>
                    <w:rPr>
                      <w:sz w:val="21"/>
                    </w:rPr>
                  </w:pPr>
                  <w:r>
                    <w:rPr>
                      <w:rFonts w:hint="eastAsia"/>
                      <w:sz w:val="21"/>
                    </w:rPr>
                    <w:t>无组织</w:t>
                  </w:r>
                </w:p>
              </w:tc>
              <w:tc>
                <w:tcPr>
                  <w:tcW w:w="3170" w:type="dxa"/>
                  <w:tcBorders>
                    <w:top w:val="single" w:color="auto" w:sz="12" w:space="0"/>
                  </w:tcBorders>
                  <w:vAlign w:val="center"/>
                </w:tcPr>
                <w:p>
                  <w:pPr>
                    <w:spacing w:line="240" w:lineRule="auto"/>
                    <w:ind w:firstLine="0" w:firstLineChars="0"/>
                    <w:rPr>
                      <w:sz w:val="21"/>
                    </w:rPr>
                  </w:pPr>
                  <w:r>
                    <w:rPr>
                      <w:sz w:val="21"/>
                    </w:rPr>
                    <w:t>废旧特种</w:t>
                  </w:r>
                  <w:r>
                    <w:rPr>
                      <w:rFonts w:hint="eastAsia"/>
                      <w:sz w:val="21"/>
                    </w:rPr>
                    <w:t>金属</w:t>
                  </w:r>
                  <w:r>
                    <w:rPr>
                      <w:sz w:val="21"/>
                    </w:rPr>
                    <w:t>卸料在封闭式</w:t>
                  </w:r>
                  <w:r>
                    <w:rPr>
                      <w:rFonts w:hint="eastAsia"/>
                      <w:sz w:val="21"/>
                    </w:rPr>
                    <w:t>车间</w:t>
                  </w:r>
                  <w:r>
                    <w:rPr>
                      <w:sz w:val="21"/>
                    </w:rPr>
                    <w:t>内进行</w:t>
                  </w:r>
                  <w:r>
                    <w:rPr>
                      <w:rFonts w:hint="eastAsia"/>
                      <w:sz w:val="21"/>
                    </w:rPr>
                    <w:t>；</w:t>
                  </w:r>
                  <w:r>
                    <w:rPr>
                      <w:sz w:val="21"/>
                    </w:rPr>
                    <w:t>废旧特种</w:t>
                  </w:r>
                  <w:r>
                    <w:rPr>
                      <w:rFonts w:hint="eastAsia"/>
                      <w:sz w:val="21"/>
                    </w:rPr>
                    <w:t>金属</w:t>
                  </w:r>
                  <w:r>
                    <w:rPr>
                      <w:sz w:val="21"/>
                    </w:rPr>
                    <w:t>落料时，离地面高度不得大于0.3m</w:t>
                  </w:r>
                  <w:r>
                    <w:rPr>
                      <w:rFonts w:hint="eastAsia"/>
                      <w:sz w:val="21"/>
                    </w:rPr>
                    <w:t>；</w:t>
                  </w:r>
                  <w:r>
                    <w:rPr>
                      <w:sz w:val="21"/>
                    </w:rPr>
                    <w:t>废旧特种</w:t>
                  </w:r>
                  <w:r>
                    <w:rPr>
                      <w:rFonts w:hint="eastAsia"/>
                      <w:sz w:val="21"/>
                    </w:rPr>
                    <w:t>金属</w:t>
                  </w:r>
                  <w:r>
                    <w:rPr>
                      <w:sz w:val="21"/>
                    </w:rPr>
                    <w:t>堆放高度大于3m时，不得继续堆料，需另起堆料点；车间定期</w:t>
                  </w:r>
                  <w:r>
                    <w:rPr>
                      <w:rFonts w:hint="eastAsia"/>
                      <w:sz w:val="21"/>
                    </w:rPr>
                    <w:t>清扫</w:t>
                  </w:r>
                  <w:r>
                    <w:rPr>
                      <w:sz w:val="21"/>
                    </w:rPr>
                    <w:t>。</w:t>
                  </w:r>
                </w:p>
              </w:tc>
              <w:tc>
                <w:tcPr>
                  <w:tcW w:w="734" w:type="dxa"/>
                  <w:tcBorders>
                    <w:top w:val="single" w:color="auto" w:sz="12" w:space="0"/>
                  </w:tcBorders>
                  <w:vAlign w:val="center"/>
                </w:tcPr>
                <w:p>
                  <w:pPr>
                    <w:spacing w:line="240" w:lineRule="auto"/>
                    <w:ind w:firstLine="0" w:firstLineChars="0"/>
                    <w:jc w:val="center"/>
                    <w:rPr>
                      <w:sz w:val="21"/>
                    </w:rPr>
                  </w:pPr>
                  <w:r>
                    <w:rPr>
                      <w:rFonts w:hint="eastAsia"/>
                      <w:sz w:val="21"/>
                    </w:rPr>
                    <w:t>60%</w:t>
                  </w:r>
                </w:p>
              </w:tc>
              <w:tc>
                <w:tcPr>
                  <w:tcW w:w="917" w:type="dxa"/>
                  <w:tcBorders>
                    <w:top w:val="single" w:color="auto" w:sz="12" w:space="0"/>
                  </w:tcBorders>
                  <w:vAlign w:val="center"/>
                </w:tcPr>
                <w:p>
                  <w:pPr>
                    <w:spacing w:line="240" w:lineRule="auto"/>
                    <w:ind w:firstLine="0" w:firstLineChars="0"/>
                    <w:jc w:val="center"/>
                    <w:rPr>
                      <w:sz w:val="21"/>
                    </w:rPr>
                  </w:pPr>
                  <w:r>
                    <w:rPr>
                      <w:rFonts w:hint="eastAsia"/>
                      <w:sz w:val="21"/>
                    </w:rPr>
                    <w:t>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8" w:type="dxa"/>
                  <w:tcBorders>
                    <w:tl2br w:val="nil"/>
                    <w:tr2bl w:val="nil"/>
                  </w:tcBorders>
                  <w:vAlign w:val="center"/>
                </w:tcPr>
                <w:p>
                  <w:pPr>
                    <w:spacing w:line="240" w:lineRule="auto"/>
                    <w:ind w:firstLine="0" w:firstLineChars="0"/>
                    <w:jc w:val="center"/>
                    <w:rPr>
                      <w:sz w:val="21"/>
                    </w:rPr>
                  </w:pPr>
                  <w:r>
                    <w:rPr>
                      <w:rFonts w:hint="eastAsia"/>
                      <w:sz w:val="21"/>
                    </w:rPr>
                    <w:t>剪切</w:t>
                  </w:r>
                </w:p>
              </w:tc>
              <w:tc>
                <w:tcPr>
                  <w:tcW w:w="876" w:type="dxa"/>
                  <w:tcBorders>
                    <w:tl2br w:val="nil"/>
                    <w:tr2bl w:val="nil"/>
                  </w:tcBorders>
                  <w:vAlign w:val="center"/>
                </w:tcPr>
                <w:p>
                  <w:pPr>
                    <w:spacing w:line="240" w:lineRule="auto"/>
                    <w:ind w:firstLine="0" w:firstLineChars="0"/>
                    <w:jc w:val="center"/>
                    <w:rPr>
                      <w:sz w:val="21"/>
                    </w:rPr>
                  </w:pPr>
                  <w:r>
                    <w:rPr>
                      <w:rFonts w:hint="eastAsia"/>
                      <w:sz w:val="21"/>
                    </w:rPr>
                    <w:t>扬尘</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0.36</w:t>
                  </w:r>
                </w:p>
              </w:tc>
              <w:tc>
                <w:tcPr>
                  <w:tcW w:w="854" w:type="dxa"/>
                  <w:tcBorders>
                    <w:tl2br w:val="nil"/>
                    <w:tr2bl w:val="nil"/>
                  </w:tcBorders>
                  <w:vAlign w:val="center"/>
                </w:tcPr>
                <w:p>
                  <w:pPr>
                    <w:spacing w:line="240" w:lineRule="auto"/>
                    <w:ind w:firstLine="0" w:firstLineChars="0"/>
                    <w:jc w:val="center"/>
                    <w:rPr>
                      <w:sz w:val="21"/>
                    </w:rPr>
                  </w:pPr>
                  <w:r>
                    <w:rPr>
                      <w:rFonts w:hint="eastAsia"/>
                      <w:sz w:val="21"/>
                    </w:rPr>
                    <w:t>无组织</w:t>
                  </w:r>
                </w:p>
              </w:tc>
              <w:tc>
                <w:tcPr>
                  <w:tcW w:w="3170" w:type="dxa"/>
                  <w:tcBorders>
                    <w:tl2br w:val="nil"/>
                    <w:tr2bl w:val="nil"/>
                  </w:tcBorders>
                  <w:vAlign w:val="center"/>
                </w:tcPr>
                <w:p>
                  <w:pPr>
                    <w:spacing w:line="240" w:lineRule="auto"/>
                    <w:ind w:firstLine="0" w:firstLineChars="0"/>
                    <w:rPr>
                      <w:sz w:val="21"/>
                    </w:rPr>
                  </w:pPr>
                  <w:r>
                    <w:rPr>
                      <w:sz w:val="21"/>
                    </w:rPr>
                    <w:t>废旧特种</w:t>
                  </w:r>
                  <w:r>
                    <w:rPr>
                      <w:rFonts w:hint="eastAsia"/>
                      <w:sz w:val="21"/>
                    </w:rPr>
                    <w:t>金属</w:t>
                  </w:r>
                  <w:r>
                    <w:rPr>
                      <w:sz w:val="21"/>
                    </w:rPr>
                    <w:t>剪切在封闭式</w:t>
                  </w:r>
                  <w:r>
                    <w:rPr>
                      <w:rFonts w:hint="eastAsia"/>
                      <w:sz w:val="21"/>
                    </w:rPr>
                    <w:t>车间</w:t>
                  </w:r>
                  <w:r>
                    <w:rPr>
                      <w:sz w:val="21"/>
                    </w:rPr>
                    <w:t>内进行，车间定期</w:t>
                  </w:r>
                  <w:r>
                    <w:rPr>
                      <w:rFonts w:hint="eastAsia"/>
                      <w:sz w:val="21"/>
                    </w:rPr>
                    <w:t>清扫</w:t>
                  </w:r>
                  <w:r>
                    <w:rPr>
                      <w:sz w:val="21"/>
                    </w:rPr>
                    <w:t>。</w:t>
                  </w:r>
                </w:p>
              </w:tc>
              <w:tc>
                <w:tcPr>
                  <w:tcW w:w="734" w:type="dxa"/>
                  <w:tcBorders>
                    <w:tl2br w:val="nil"/>
                    <w:tr2bl w:val="nil"/>
                  </w:tcBorders>
                  <w:vAlign w:val="center"/>
                </w:tcPr>
                <w:p>
                  <w:pPr>
                    <w:spacing w:line="240" w:lineRule="auto"/>
                    <w:ind w:firstLine="0" w:firstLineChars="0"/>
                    <w:jc w:val="center"/>
                    <w:rPr>
                      <w:sz w:val="21"/>
                    </w:rPr>
                  </w:pPr>
                  <w:r>
                    <w:rPr>
                      <w:rFonts w:hint="eastAsia"/>
                      <w:sz w:val="21"/>
                    </w:rPr>
                    <w:t>60%</w:t>
                  </w:r>
                </w:p>
              </w:tc>
              <w:tc>
                <w:tcPr>
                  <w:tcW w:w="917" w:type="dxa"/>
                  <w:tcBorders>
                    <w:tl2br w:val="nil"/>
                    <w:tr2bl w:val="nil"/>
                  </w:tcBorders>
                  <w:vAlign w:val="center"/>
                </w:tcPr>
                <w:p>
                  <w:pPr>
                    <w:spacing w:line="240" w:lineRule="auto"/>
                    <w:ind w:firstLine="0" w:firstLineChars="0"/>
                    <w:jc w:val="center"/>
                    <w:rPr>
                      <w:sz w:val="21"/>
                    </w:rPr>
                  </w:pPr>
                  <w:r>
                    <w:rPr>
                      <w:rFonts w:hint="eastAsia"/>
                      <w:sz w:val="21"/>
                    </w:rPr>
                    <w:t>0.144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8" w:type="dxa"/>
                  <w:tcBorders>
                    <w:tl2br w:val="nil"/>
                    <w:tr2bl w:val="nil"/>
                  </w:tcBorders>
                  <w:vAlign w:val="center"/>
                </w:tcPr>
                <w:p>
                  <w:pPr>
                    <w:spacing w:line="240" w:lineRule="auto"/>
                    <w:ind w:firstLine="0" w:firstLineChars="0"/>
                    <w:jc w:val="center"/>
                    <w:rPr>
                      <w:sz w:val="21"/>
                    </w:rPr>
                  </w:pPr>
                  <w:r>
                    <w:rPr>
                      <w:rFonts w:hint="eastAsia"/>
                      <w:sz w:val="21"/>
                    </w:rPr>
                    <w:t>转运</w:t>
                  </w:r>
                </w:p>
              </w:tc>
              <w:tc>
                <w:tcPr>
                  <w:tcW w:w="876" w:type="dxa"/>
                  <w:tcBorders>
                    <w:tl2br w:val="nil"/>
                    <w:tr2bl w:val="nil"/>
                  </w:tcBorders>
                  <w:vAlign w:val="center"/>
                </w:tcPr>
                <w:p>
                  <w:pPr>
                    <w:spacing w:line="240" w:lineRule="auto"/>
                    <w:ind w:firstLine="0" w:firstLineChars="0"/>
                    <w:jc w:val="center"/>
                    <w:rPr>
                      <w:sz w:val="21"/>
                    </w:rPr>
                  </w:pPr>
                  <w:r>
                    <w:rPr>
                      <w:rFonts w:hint="eastAsia"/>
                      <w:sz w:val="21"/>
                    </w:rPr>
                    <w:t>扬尘</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w:t>
                  </w:r>
                </w:p>
              </w:tc>
              <w:tc>
                <w:tcPr>
                  <w:tcW w:w="854" w:type="dxa"/>
                  <w:tcBorders>
                    <w:tl2br w:val="nil"/>
                    <w:tr2bl w:val="nil"/>
                  </w:tcBorders>
                  <w:vAlign w:val="center"/>
                </w:tcPr>
                <w:p>
                  <w:pPr>
                    <w:spacing w:line="240" w:lineRule="auto"/>
                    <w:ind w:firstLine="0" w:firstLineChars="0"/>
                    <w:jc w:val="center"/>
                    <w:rPr>
                      <w:sz w:val="21"/>
                    </w:rPr>
                  </w:pPr>
                  <w:r>
                    <w:rPr>
                      <w:rFonts w:hint="eastAsia"/>
                      <w:sz w:val="21"/>
                    </w:rPr>
                    <w:t>无组织</w:t>
                  </w:r>
                </w:p>
              </w:tc>
              <w:tc>
                <w:tcPr>
                  <w:tcW w:w="3170" w:type="dxa"/>
                  <w:tcBorders>
                    <w:tl2br w:val="nil"/>
                    <w:tr2bl w:val="nil"/>
                  </w:tcBorders>
                  <w:vAlign w:val="center"/>
                </w:tcPr>
                <w:p>
                  <w:pPr>
                    <w:spacing w:line="240" w:lineRule="auto"/>
                    <w:ind w:firstLine="0" w:firstLineChars="0"/>
                    <w:rPr>
                      <w:sz w:val="21"/>
                    </w:rPr>
                  </w:pPr>
                  <w:r>
                    <w:rPr>
                      <w:sz w:val="21"/>
                    </w:rPr>
                    <w:t>废旧特种</w:t>
                  </w:r>
                  <w:r>
                    <w:rPr>
                      <w:rFonts w:hint="eastAsia"/>
                      <w:sz w:val="21"/>
                    </w:rPr>
                    <w:t>金属表面含废润滑油、落料时</w:t>
                  </w:r>
                  <w:r>
                    <w:rPr>
                      <w:sz w:val="21"/>
                    </w:rPr>
                    <w:t>离地面高度不得大于0.3m</w:t>
                  </w:r>
                  <w:r>
                    <w:rPr>
                      <w:rFonts w:hint="eastAsia"/>
                      <w:sz w:val="21"/>
                    </w:rPr>
                    <w:t>。</w:t>
                  </w:r>
                </w:p>
              </w:tc>
              <w:tc>
                <w:tcPr>
                  <w:tcW w:w="734" w:type="dxa"/>
                  <w:tcBorders>
                    <w:tl2br w:val="nil"/>
                    <w:tr2bl w:val="nil"/>
                  </w:tcBorders>
                  <w:vAlign w:val="center"/>
                </w:tcPr>
                <w:p>
                  <w:pPr>
                    <w:spacing w:line="240" w:lineRule="auto"/>
                    <w:ind w:firstLine="0" w:firstLineChars="0"/>
                    <w:jc w:val="center"/>
                    <w:rPr>
                      <w:sz w:val="21"/>
                    </w:rPr>
                  </w:pPr>
                  <w:r>
                    <w:rPr>
                      <w:rFonts w:hint="eastAsia"/>
                      <w:sz w:val="21"/>
                    </w:rPr>
                    <w:t>60%</w:t>
                  </w:r>
                </w:p>
              </w:tc>
              <w:tc>
                <w:tcPr>
                  <w:tcW w:w="917" w:type="dxa"/>
                  <w:tcBorders>
                    <w:tl2br w:val="nil"/>
                    <w:tr2bl w:val="nil"/>
                  </w:tcBorders>
                  <w:vAlign w:val="center"/>
                </w:tcPr>
                <w:p>
                  <w:pPr>
                    <w:spacing w:line="240" w:lineRule="auto"/>
                    <w:ind w:firstLine="0" w:firstLineChars="0"/>
                    <w:jc w:val="center"/>
                    <w:rPr>
                      <w:sz w:val="21"/>
                    </w:rPr>
                  </w:pPr>
                  <w:r>
                    <w:rPr>
                      <w:rFonts w:hint="eastAsia"/>
                      <w:sz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8" w:type="dxa"/>
                  <w:tcBorders>
                    <w:tl2br w:val="nil"/>
                    <w:tr2bl w:val="nil"/>
                  </w:tcBorders>
                  <w:vAlign w:val="center"/>
                </w:tcPr>
                <w:p>
                  <w:pPr>
                    <w:spacing w:line="240" w:lineRule="auto"/>
                    <w:ind w:firstLine="0" w:firstLineChars="0"/>
                    <w:jc w:val="center"/>
                    <w:rPr>
                      <w:sz w:val="21"/>
                    </w:rPr>
                  </w:pPr>
                  <w:r>
                    <w:rPr>
                      <w:rFonts w:hint="eastAsia"/>
                      <w:sz w:val="21"/>
                    </w:rPr>
                    <w:t>合计</w:t>
                  </w:r>
                </w:p>
              </w:tc>
              <w:tc>
                <w:tcPr>
                  <w:tcW w:w="876" w:type="dxa"/>
                  <w:tcBorders>
                    <w:tl2br w:val="nil"/>
                    <w:tr2bl w:val="nil"/>
                  </w:tcBorders>
                  <w:vAlign w:val="center"/>
                </w:tcPr>
                <w:p>
                  <w:pPr>
                    <w:spacing w:line="240" w:lineRule="auto"/>
                    <w:ind w:firstLine="0" w:firstLineChars="0"/>
                    <w:jc w:val="center"/>
                    <w:rPr>
                      <w:sz w:val="21"/>
                    </w:rPr>
                  </w:pPr>
                  <w:r>
                    <w:rPr>
                      <w:rFonts w:hint="eastAsia"/>
                      <w:sz w:val="21"/>
                    </w:rPr>
                    <w:t>扬尘</w:t>
                  </w:r>
                </w:p>
              </w:tc>
              <w:tc>
                <w:tcPr>
                  <w:tcW w:w="860" w:type="dxa"/>
                  <w:tcBorders>
                    <w:tl2br w:val="nil"/>
                    <w:tr2bl w:val="nil"/>
                  </w:tcBorders>
                  <w:vAlign w:val="center"/>
                </w:tcPr>
                <w:p>
                  <w:pPr>
                    <w:spacing w:line="240" w:lineRule="auto"/>
                    <w:ind w:firstLine="0" w:firstLineChars="0"/>
                    <w:jc w:val="center"/>
                    <w:rPr>
                      <w:sz w:val="21"/>
                    </w:rPr>
                  </w:pPr>
                  <w:r>
                    <w:rPr>
                      <w:rFonts w:hint="eastAsia"/>
                      <w:sz w:val="21"/>
                    </w:rPr>
                    <w:t>/</w:t>
                  </w:r>
                </w:p>
              </w:tc>
              <w:tc>
                <w:tcPr>
                  <w:tcW w:w="854" w:type="dxa"/>
                  <w:tcBorders>
                    <w:tl2br w:val="nil"/>
                    <w:tr2bl w:val="nil"/>
                  </w:tcBorders>
                  <w:vAlign w:val="center"/>
                </w:tcPr>
                <w:p>
                  <w:pPr>
                    <w:spacing w:line="240" w:lineRule="auto"/>
                    <w:ind w:firstLine="0" w:firstLineChars="0"/>
                    <w:jc w:val="center"/>
                    <w:rPr>
                      <w:sz w:val="21"/>
                    </w:rPr>
                  </w:pPr>
                  <w:r>
                    <w:rPr>
                      <w:rFonts w:hint="eastAsia"/>
                      <w:sz w:val="21"/>
                    </w:rPr>
                    <w:t>无组织</w:t>
                  </w:r>
                </w:p>
              </w:tc>
              <w:tc>
                <w:tcPr>
                  <w:tcW w:w="3904" w:type="dxa"/>
                  <w:gridSpan w:val="2"/>
                  <w:tcBorders>
                    <w:tl2br w:val="nil"/>
                    <w:tr2bl w:val="nil"/>
                  </w:tcBorders>
                  <w:vAlign w:val="center"/>
                </w:tcPr>
                <w:p>
                  <w:pPr>
                    <w:spacing w:line="240" w:lineRule="auto"/>
                    <w:ind w:firstLine="0" w:firstLineChars="0"/>
                    <w:jc w:val="center"/>
                    <w:rPr>
                      <w:sz w:val="21"/>
                    </w:rPr>
                  </w:pPr>
                  <w:r>
                    <w:rPr>
                      <w:rFonts w:hint="eastAsia"/>
                      <w:sz w:val="21"/>
                    </w:rPr>
                    <w:t>/</w:t>
                  </w:r>
                </w:p>
              </w:tc>
              <w:tc>
                <w:tcPr>
                  <w:tcW w:w="917" w:type="dxa"/>
                  <w:tcBorders>
                    <w:tl2br w:val="nil"/>
                    <w:tr2bl w:val="nil"/>
                  </w:tcBorders>
                  <w:vAlign w:val="center"/>
                </w:tcPr>
                <w:p>
                  <w:pPr>
                    <w:spacing w:line="240" w:lineRule="auto"/>
                    <w:ind w:firstLine="0" w:firstLineChars="0"/>
                    <w:jc w:val="center"/>
                    <w:rPr>
                      <w:sz w:val="21"/>
                    </w:rPr>
                  </w:pPr>
                  <w:r>
                    <w:rPr>
                      <w:rFonts w:hint="eastAsia"/>
                      <w:sz w:val="21"/>
                    </w:rPr>
                    <w:t>0.157</w:t>
                  </w:r>
                </w:p>
              </w:tc>
            </w:tr>
          </w:tbl>
          <w:p>
            <w:pPr>
              <w:pStyle w:val="5"/>
            </w:pPr>
            <w:r>
              <w:rPr>
                <w:rFonts w:hint="eastAsia"/>
              </w:rPr>
              <w:t>4</w:t>
            </w:r>
            <w:r>
              <w:t>.2.2</w:t>
            </w:r>
            <w:r>
              <w:rPr>
                <w:rFonts w:hint="eastAsia"/>
              </w:rPr>
              <w:t>清洁运输</w:t>
            </w:r>
          </w:p>
          <w:p>
            <w:pPr>
              <w:ind w:firstLine="480"/>
              <w:rPr>
                <w:color w:val="auto"/>
              </w:rPr>
            </w:pPr>
            <w:r>
              <w:rPr>
                <w:rFonts w:hint="eastAsia"/>
                <w:color w:val="auto"/>
              </w:rPr>
              <w:t>项目厂外运输时要求建设单位按照清洁运输的要求，建议采用新能源汽车或者达到国六排放标准的汽车进行废旧特种金属运输，同时保持车身和轮胎清洁再上路，在公路上行驶严格限速以免造成运输车辆的超标排放。</w:t>
            </w:r>
          </w:p>
          <w:p>
            <w:pPr>
              <w:pStyle w:val="5"/>
            </w:pPr>
            <w:r>
              <w:rPr>
                <w:rFonts w:hint="eastAsia"/>
              </w:rPr>
              <w:t>4.2.3非道路移动机械污染防治措施</w:t>
            </w:r>
          </w:p>
          <w:p>
            <w:pPr>
              <w:ind w:firstLine="480"/>
            </w:pPr>
            <w:r>
              <w:t>本项目非道路移动机械主要</w:t>
            </w:r>
            <w:r>
              <w:rPr>
                <w:rFonts w:hint="eastAsia"/>
              </w:rPr>
              <w:t>是叉车，用于转运废旧特种金属</w:t>
            </w:r>
            <w:r>
              <w:t>。</w:t>
            </w:r>
          </w:p>
          <w:p>
            <w:pPr>
              <w:ind w:firstLine="480"/>
            </w:pPr>
            <w:r>
              <w:t>根据《非道路移动机械污染防治技术政策》，环评要求：加强装载机、叉车尾气排放检测；加强非装载机、叉车的维修、保养，使其保持良好的技术状态；加强装载机噪声控制装置的维护保养。</w:t>
            </w:r>
          </w:p>
          <w:p>
            <w:pPr>
              <w:ind w:firstLine="480"/>
            </w:pPr>
            <w:r>
              <w:t>同时结合《生态环境部就《非道路移动机械污染防治技术政策》答问》一文中的政策解读：</w:t>
            </w:r>
          </w:p>
          <w:p>
            <w:pPr>
              <w:ind w:firstLine="480"/>
            </w:pPr>
            <w:r>
              <w:rPr>
                <w:rFonts w:hint="eastAsia"/>
              </w:rPr>
              <w:t>“</w:t>
            </w:r>
            <w:r>
              <w:t>对以小型点燃式发动机（俗称小通机，小型汽油机和气体燃料发动机）为动力的非道路移动机械，控制目标要求2020年前后达到国家第三阶段排放控制水平，2025年与世界最先进排放控制水平接轨。......</w:t>
            </w:r>
            <w:r>
              <w:rPr>
                <w:rFonts w:hint="eastAsia"/>
              </w:rPr>
              <w:t>”</w:t>
            </w:r>
          </w:p>
          <w:p>
            <w:pPr>
              <w:ind w:firstLine="480"/>
            </w:pPr>
            <w:r>
              <w:rPr>
                <w:rFonts w:hint="eastAsia"/>
              </w:rPr>
              <w:t>“</w:t>
            </w:r>
            <w:r>
              <w:t>在用非道路移动机械的污染防治技术要求。《技术政策》首先提出了加强非道路移动机械的维修、保养，只有按照机械说明书要求进行正常的保养、维修，才能确保在用非道路移动机械保持原有污染物排放水平；其次，非道路移动机械因其无需挂牌的特殊性，增加了有效监管的难度，为对非道路移动机械实现有效监管，应逐步建立在用机械的使用登记制度；另外，针对老旧非道路移动机械保有量大、排放超标严重的问题，《技术政策》提出要对具备改造条件的机械加装或更换符合要求的污染控制装置，以大幅降低非道路移动机械污染物。.......</w:t>
            </w:r>
            <w:r>
              <w:rPr>
                <w:rFonts w:hint="eastAsia"/>
              </w:rPr>
              <w:t>”</w:t>
            </w:r>
          </w:p>
          <w:p>
            <w:pPr>
              <w:ind w:firstLine="480"/>
            </w:pPr>
            <w:r>
              <w:rPr>
                <w:rFonts w:hint="eastAsia"/>
              </w:rPr>
              <w:t>“</w:t>
            </w:r>
            <w:r>
              <w:t>提出混合动力、纯电动、燃料电池等新能源技术在非道路移动机械特别是在中小型非道路移动机械的应用。......</w:t>
            </w:r>
            <w:r>
              <w:rPr>
                <w:rFonts w:hint="eastAsia"/>
              </w:rPr>
              <w:t>”</w:t>
            </w:r>
          </w:p>
          <w:p>
            <w:pPr>
              <w:ind w:firstLine="480"/>
            </w:pPr>
            <w:r>
              <w:t>因此结合以上文件环保措施的相关要求，本次评价中要求的环保措施除定期检修车况外，建议厂内的非道路移动机械采用新能源车辆或尾气排放满足国三排放标准的车辆。</w:t>
            </w:r>
          </w:p>
          <w:p>
            <w:pPr>
              <w:pStyle w:val="5"/>
            </w:pPr>
            <w:r>
              <w:rPr>
                <w:rFonts w:hint="eastAsia"/>
              </w:rPr>
              <w:t>4.2.4污染物防治技术可行性分析</w:t>
            </w:r>
          </w:p>
          <w:p>
            <w:pPr>
              <w:ind w:firstLine="480"/>
              <w:rPr>
                <w:color w:val="auto"/>
              </w:rPr>
            </w:pPr>
            <w:r>
              <w:rPr>
                <w:rFonts w:hint="eastAsia"/>
                <w:color w:val="auto"/>
              </w:rPr>
              <w:t>本项目废气以无组织颗粒物的形式排放，根据《山西省深入推进扬尘污染治理工作方案》，本项目采取封闭车间作业、车间定期清扫，生产设备布置远离敏感目标的措施后，可有效降低无组织颗粒物的排放，降低对敏感的大气污染。食堂油烟排放满足《饮食业油烟排放标准》（GB18483-2001）中表2标准。因此，本项目的建设对该区域大气环境影响较小。</w:t>
            </w:r>
          </w:p>
          <w:p>
            <w:pPr>
              <w:pStyle w:val="5"/>
            </w:pPr>
            <w:r>
              <w:rPr>
                <w:rFonts w:hint="eastAsia"/>
              </w:rPr>
              <w:t>4.2.5大气监测计划</w:t>
            </w:r>
          </w:p>
          <w:p>
            <w:pPr>
              <w:ind w:firstLine="480"/>
            </w:pPr>
            <w:r>
              <w:rPr>
                <w:rFonts w:hint="eastAsia"/>
              </w:rPr>
              <w:t>本项目为属于废金属回收加工，依据《排污许可证申请与核发技术规范  废弃资源加工工业》制定本项目大气环境监测计划，详见表4-2。</w:t>
            </w:r>
          </w:p>
          <w:p>
            <w:pPr>
              <w:spacing w:line="240" w:lineRule="auto"/>
              <w:ind w:firstLine="0" w:firstLineChars="0"/>
              <w:jc w:val="center"/>
              <w:rPr>
                <w:b/>
                <w:bCs/>
                <w:sz w:val="21"/>
              </w:rPr>
            </w:pPr>
            <w:r>
              <w:rPr>
                <w:rFonts w:hint="eastAsia"/>
                <w:b/>
                <w:bCs/>
                <w:sz w:val="21"/>
              </w:rPr>
              <w:t>表4-2  大气环境监测计划表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9"/>
              <w:gridCol w:w="1540"/>
              <w:gridCol w:w="2188"/>
              <w:gridCol w:w="1621"/>
              <w:gridCol w:w="19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563" w:type="pct"/>
                  <w:tcBorders>
                    <w:top w:val="single" w:color="auto" w:sz="12" w:space="0"/>
                    <w:left w:val="nil"/>
                    <w:bottom w:val="single" w:color="auto" w:sz="12" w:space="0"/>
                  </w:tcBorders>
                  <w:tcMar>
                    <w:left w:w="28" w:type="dxa"/>
                    <w:right w:w="28" w:type="dxa"/>
                  </w:tcMar>
                  <w:vAlign w:val="center"/>
                </w:tcPr>
                <w:p>
                  <w:pPr>
                    <w:spacing w:line="240" w:lineRule="auto"/>
                    <w:ind w:firstLine="0" w:firstLineChars="0"/>
                    <w:jc w:val="center"/>
                    <w:rPr>
                      <w:rFonts w:cs="Times New Roman"/>
                      <w:b/>
                      <w:bCs/>
                      <w:sz w:val="21"/>
                      <w:szCs w:val="18"/>
                    </w:rPr>
                  </w:pPr>
                  <w:r>
                    <w:rPr>
                      <w:rFonts w:hint="eastAsia" w:cs="Times New Roman"/>
                      <w:b/>
                      <w:bCs/>
                      <w:sz w:val="21"/>
                      <w:szCs w:val="18"/>
                    </w:rPr>
                    <w:t>阶段</w:t>
                  </w:r>
                </w:p>
              </w:tc>
              <w:tc>
                <w:tcPr>
                  <w:tcW w:w="934" w:type="pct"/>
                  <w:tcBorders>
                    <w:top w:val="single" w:color="auto" w:sz="12" w:space="0"/>
                    <w:bottom w:val="single" w:color="auto" w:sz="12" w:space="0"/>
                  </w:tcBorders>
                  <w:tcMar>
                    <w:left w:w="28" w:type="dxa"/>
                    <w:right w:w="28" w:type="dxa"/>
                  </w:tcMar>
                  <w:vAlign w:val="center"/>
                </w:tcPr>
                <w:p>
                  <w:pPr>
                    <w:spacing w:line="240" w:lineRule="auto"/>
                    <w:ind w:firstLine="0" w:firstLineChars="0"/>
                    <w:jc w:val="center"/>
                    <w:rPr>
                      <w:rFonts w:cs="Times New Roman"/>
                      <w:b/>
                      <w:bCs/>
                      <w:sz w:val="21"/>
                      <w:szCs w:val="18"/>
                    </w:rPr>
                  </w:pPr>
                  <w:r>
                    <w:rPr>
                      <w:rFonts w:hint="eastAsia" w:cs="Times New Roman"/>
                      <w:b/>
                      <w:bCs/>
                      <w:sz w:val="21"/>
                      <w:szCs w:val="18"/>
                    </w:rPr>
                    <w:t>类别</w:t>
                  </w:r>
                </w:p>
              </w:tc>
              <w:tc>
                <w:tcPr>
                  <w:tcW w:w="1327" w:type="pct"/>
                  <w:tcBorders>
                    <w:top w:val="single" w:color="auto" w:sz="12" w:space="0"/>
                    <w:bottom w:val="single" w:color="auto" w:sz="12" w:space="0"/>
                  </w:tcBorders>
                  <w:tcMar>
                    <w:left w:w="28" w:type="dxa"/>
                    <w:right w:w="28" w:type="dxa"/>
                  </w:tcMar>
                  <w:vAlign w:val="center"/>
                </w:tcPr>
                <w:p>
                  <w:pPr>
                    <w:spacing w:line="240" w:lineRule="auto"/>
                    <w:ind w:firstLine="0" w:firstLineChars="0"/>
                    <w:jc w:val="center"/>
                    <w:rPr>
                      <w:rFonts w:cs="Times New Roman"/>
                      <w:b/>
                      <w:bCs/>
                      <w:sz w:val="21"/>
                      <w:szCs w:val="18"/>
                    </w:rPr>
                  </w:pPr>
                  <w:r>
                    <w:rPr>
                      <w:rFonts w:cs="Times New Roman"/>
                      <w:b/>
                      <w:bCs/>
                      <w:sz w:val="21"/>
                      <w:szCs w:val="18"/>
                    </w:rPr>
                    <w:t>监测</w:t>
                  </w:r>
                  <w:r>
                    <w:rPr>
                      <w:rFonts w:hint="eastAsia" w:cs="Times New Roman"/>
                      <w:b/>
                      <w:bCs/>
                      <w:sz w:val="21"/>
                      <w:szCs w:val="18"/>
                    </w:rPr>
                    <w:t>点位</w:t>
                  </w:r>
                </w:p>
              </w:tc>
              <w:tc>
                <w:tcPr>
                  <w:tcW w:w="984" w:type="pct"/>
                  <w:tcBorders>
                    <w:top w:val="single" w:color="auto" w:sz="12" w:space="0"/>
                    <w:bottom w:val="single" w:color="auto" w:sz="12" w:space="0"/>
                  </w:tcBorders>
                  <w:tcMar>
                    <w:left w:w="28" w:type="dxa"/>
                    <w:right w:w="28" w:type="dxa"/>
                  </w:tcMar>
                  <w:vAlign w:val="center"/>
                </w:tcPr>
                <w:p>
                  <w:pPr>
                    <w:spacing w:line="240" w:lineRule="auto"/>
                    <w:ind w:firstLine="0" w:firstLineChars="0"/>
                    <w:jc w:val="center"/>
                    <w:rPr>
                      <w:rFonts w:cs="Times New Roman"/>
                      <w:b/>
                      <w:bCs/>
                      <w:sz w:val="21"/>
                      <w:szCs w:val="18"/>
                    </w:rPr>
                  </w:pPr>
                  <w:r>
                    <w:rPr>
                      <w:rFonts w:cs="Times New Roman"/>
                      <w:b/>
                      <w:bCs/>
                      <w:sz w:val="21"/>
                      <w:szCs w:val="18"/>
                    </w:rPr>
                    <w:t>监测项目</w:t>
                  </w:r>
                </w:p>
              </w:tc>
              <w:tc>
                <w:tcPr>
                  <w:tcW w:w="1190" w:type="pct"/>
                  <w:tcBorders>
                    <w:top w:val="single" w:color="auto" w:sz="12" w:space="0"/>
                    <w:bottom w:val="single" w:color="auto" w:sz="12" w:space="0"/>
                    <w:right w:val="nil"/>
                  </w:tcBorders>
                  <w:tcMar>
                    <w:left w:w="28" w:type="dxa"/>
                    <w:right w:w="28" w:type="dxa"/>
                  </w:tcMar>
                  <w:vAlign w:val="center"/>
                </w:tcPr>
                <w:p>
                  <w:pPr>
                    <w:spacing w:line="240" w:lineRule="auto"/>
                    <w:ind w:firstLine="0" w:firstLineChars="0"/>
                    <w:jc w:val="center"/>
                    <w:rPr>
                      <w:rFonts w:cs="Times New Roman"/>
                      <w:b/>
                      <w:bCs/>
                      <w:sz w:val="21"/>
                      <w:szCs w:val="18"/>
                    </w:rPr>
                  </w:pPr>
                  <w:r>
                    <w:rPr>
                      <w:rFonts w:cs="Times New Roman"/>
                      <w:b/>
                      <w:bCs/>
                      <w:sz w:val="21"/>
                      <w:szCs w:val="18"/>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jc w:val="center"/>
              </w:trPr>
              <w:tc>
                <w:tcPr>
                  <w:tcW w:w="563" w:type="pct"/>
                  <w:tcBorders>
                    <w:top w:val="single" w:color="auto" w:sz="12" w:space="0"/>
                    <w:left w:val="nil"/>
                    <w:bottom w:val="single" w:color="auto" w:sz="12" w:space="0"/>
                  </w:tcBorders>
                  <w:tcMar>
                    <w:left w:w="28" w:type="dxa"/>
                    <w:right w:w="28" w:type="dxa"/>
                  </w:tcMar>
                  <w:vAlign w:val="center"/>
                </w:tcPr>
                <w:p>
                  <w:pPr>
                    <w:spacing w:line="240" w:lineRule="auto"/>
                    <w:ind w:firstLine="0" w:firstLineChars="0"/>
                    <w:jc w:val="center"/>
                    <w:rPr>
                      <w:rFonts w:cs="Times New Roman"/>
                      <w:sz w:val="21"/>
                      <w:szCs w:val="18"/>
                    </w:rPr>
                  </w:pPr>
                  <w:r>
                    <w:rPr>
                      <w:rFonts w:hint="eastAsia" w:cs="Times New Roman"/>
                      <w:sz w:val="21"/>
                      <w:szCs w:val="18"/>
                    </w:rPr>
                    <w:t>运营期</w:t>
                  </w:r>
                </w:p>
              </w:tc>
              <w:tc>
                <w:tcPr>
                  <w:tcW w:w="934" w:type="pct"/>
                  <w:tcBorders>
                    <w:top w:val="single" w:color="auto" w:sz="12" w:space="0"/>
                    <w:bottom w:val="single" w:color="auto" w:sz="12" w:space="0"/>
                  </w:tcBorders>
                  <w:tcMar>
                    <w:left w:w="28" w:type="dxa"/>
                    <w:right w:w="28" w:type="dxa"/>
                  </w:tcMar>
                  <w:vAlign w:val="center"/>
                </w:tcPr>
                <w:p>
                  <w:pPr>
                    <w:spacing w:line="240" w:lineRule="auto"/>
                    <w:ind w:firstLine="0" w:firstLineChars="0"/>
                    <w:jc w:val="center"/>
                    <w:rPr>
                      <w:rFonts w:cs="Times New Roman"/>
                      <w:sz w:val="21"/>
                      <w:szCs w:val="18"/>
                    </w:rPr>
                  </w:pPr>
                  <w:r>
                    <w:rPr>
                      <w:rFonts w:hint="eastAsia" w:cs="Times New Roman"/>
                      <w:sz w:val="21"/>
                      <w:szCs w:val="18"/>
                    </w:rPr>
                    <w:t>大气无组织</w:t>
                  </w:r>
                </w:p>
              </w:tc>
              <w:tc>
                <w:tcPr>
                  <w:tcW w:w="1327" w:type="pct"/>
                  <w:tcBorders>
                    <w:top w:val="single" w:color="auto" w:sz="12" w:space="0"/>
                    <w:bottom w:val="single" w:color="auto" w:sz="12" w:space="0"/>
                  </w:tcBorders>
                  <w:tcMar>
                    <w:left w:w="28" w:type="dxa"/>
                    <w:right w:w="28" w:type="dxa"/>
                  </w:tcMar>
                  <w:vAlign w:val="center"/>
                </w:tcPr>
                <w:p>
                  <w:pPr>
                    <w:spacing w:line="240" w:lineRule="auto"/>
                    <w:ind w:firstLine="0" w:firstLineChars="0"/>
                    <w:jc w:val="center"/>
                    <w:rPr>
                      <w:rFonts w:cs="Times New Roman"/>
                      <w:sz w:val="21"/>
                      <w:szCs w:val="18"/>
                    </w:rPr>
                  </w:pPr>
                  <w:r>
                    <w:rPr>
                      <w:rFonts w:hint="eastAsia" w:cs="Times New Roman"/>
                      <w:sz w:val="21"/>
                      <w:szCs w:val="18"/>
                    </w:rPr>
                    <w:t>厂界上风向1个点位，下风3个点位</w:t>
                  </w:r>
                </w:p>
              </w:tc>
              <w:tc>
                <w:tcPr>
                  <w:tcW w:w="984" w:type="pct"/>
                  <w:tcBorders>
                    <w:top w:val="single" w:color="auto" w:sz="12" w:space="0"/>
                    <w:bottom w:val="single" w:color="auto" w:sz="12" w:space="0"/>
                  </w:tcBorders>
                  <w:tcMar>
                    <w:left w:w="28" w:type="dxa"/>
                    <w:right w:w="28" w:type="dxa"/>
                  </w:tcMar>
                  <w:vAlign w:val="center"/>
                </w:tcPr>
                <w:p>
                  <w:pPr>
                    <w:spacing w:line="240" w:lineRule="auto"/>
                    <w:ind w:firstLine="0" w:firstLineChars="0"/>
                    <w:jc w:val="center"/>
                    <w:rPr>
                      <w:rFonts w:cs="Times New Roman"/>
                      <w:sz w:val="21"/>
                      <w:szCs w:val="18"/>
                    </w:rPr>
                  </w:pPr>
                  <w:r>
                    <w:rPr>
                      <w:rFonts w:hint="eastAsia" w:cs="Times New Roman"/>
                      <w:sz w:val="21"/>
                      <w:szCs w:val="18"/>
                    </w:rPr>
                    <w:t>颗粒物</w:t>
                  </w:r>
                </w:p>
              </w:tc>
              <w:tc>
                <w:tcPr>
                  <w:tcW w:w="1190" w:type="pct"/>
                  <w:tcBorders>
                    <w:top w:val="single" w:color="auto" w:sz="12" w:space="0"/>
                    <w:bottom w:val="single" w:color="auto" w:sz="12" w:space="0"/>
                    <w:right w:val="nil"/>
                  </w:tcBorders>
                  <w:tcMar>
                    <w:left w:w="28" w:type="dxa"/>
                    <w:right w:w="28" w:type="dxa"/>
                  </w:tcMar>
                  <w:vAlign w:val="center"/>
                </w:tcPr>
                <w:p>
                  <w:pPr>
                    <w:spacing w:line="240" w:lineRule="auto"/>
                    <w:ind w:firstLine="0" w:firstLineChars="0"/>
                    <w:jc w:val="center"/>
                    <w:rPr>
                      <w:rFonts w:cs="Times New Roman"/>
                      <w:sz w:val="21"/>
                      <w:szCs w:val="18"/>
                    </w:rPr>
                  </w:pPr>
                  <w:r>
                    <w:rPr>
                      <w:rFonts w:hint="eastAsia" w:cs="Times New Roman"/>
                      <w:sz w:val="21"/>
                      <w:szCs w:val="18"/>
                    </w:rPr>
                    <w:t>1</w:t>
                  </w:r>
                  <w:r>
                    <w:rPr>
                      <w:rFonts w:cs="Times New Roman"/>
                      <w:sz w:val="21"/>
                      <w:szCs w:val="18"/>
                    </w:rPr>
                    <w:t>次</w:t>
                  </w:r>
                  <w:r>
                    <w:rPr>
                      <w:rFonts w:hint="eastAsia" w:cs="Times New Roman"/>
                      <w:sz w:val="21"/>
                      <w:szCs w:val="18"/>
                    </w:rPr>
                    <w:t>/年</w:t>
                  </w:r>
                </w:p>
              </w:tc>
            </w:tr>
          </w:tbl>
          <w:p>
            <w:pPr>
              <w:pStyle w:val="4"/>
            </w:pPr>
            <w:r>
              <w:rPr>
                <w:rFonts w:hint="eastAsia"/>
              </w:rPr>
              <w:t>4.2.6大气环境影响分析</w:t>
            </w:r>
          </w:p>
          <w:p>
            <w:pPr>
              <w:ind w:firstLine="480"/>
            </w:pPr>
            <w:r>
              <w:rPr>
                <w:rFonts w:hint="eastAsia"/>
              </w:rPr>
              <w:t>经上述分析，本项目在采取环评提出的大气污染防治措施后，扬尘排放量较小。因此，本项目实施后对大气环境影响较小。</w:t>
            </w:r>
          </w:p>
          <w:p>
            <w:pPr>
              <w:pStyle w:val="4"/>
            </w:pPr>
            <w:r>
              <w:rPr>
                <w:rFonts w:hint="eastAsia"/>
              </w:rPr>
              <w:t>4.3水环境影响和治理措施</w:t>
            </w:r>
          </w:p>
          <w:p>
            <w:pPr>
              <w:ind w:firstLine="480"/>
            </w:pPr>
            <w:r>
              <w:rPr>
                <w:rFonts w:hint="eastAsia"/>
              </w:rPr>
              <w:t>本项目废水主要是生活废水、食堂废水和洗车废水，无生产废水。</w:t>
            </w:r>
          </w:p>
          <w:p>
            <w:pPr>
              <w:ind w:firstLine="482"/>
            </w:pPr>
            <w:r>
              <w:rPr>
                <w:rFonts w:hint="eastAsia"/>
                <w:b/>
                <w:bCs/>
              </w:rPr>
              <w:t>生活废水、食堂废水：</w:t>
            </w:r>
            <w:r>
              <w:rPr>
                <w:rFonts w:hint="eastAsia"/>
              </w:rPr>
              <w:t>生活废水产生量为1.73m</w:t>
            </w:r>
            <w:r>
              <w:rPr>
                <w:rFonts w:hint="eastAsia"/>
                <w:vertAlign w:val="superscript"/>
              </w:rPr>
              <w:t>3</w:t>
            </w:r>
            <w:r>
              <w:rPr>
                <w:rFonts w:hint="eastAsia"/>
              </w:rPr>
              <w:t>/d（519m</w:t>
            </w:r>
            <w:r>
              <w:rPr>
                <w:rFonts w:hint="eastAsia"/>
                <w:vertAlign w:val="superscript"/>
              </w:rPr>
              <w:t>3</w:t>
            </w:r>
            <w:r>
              <w:rPr>
                <w:rFonts w:hint="eastAsia"/>
              </w:rPr>
              <w:t>）、食堂废水产生量为0.43m</w:t>
            </w:r>
            <w:r>
              <w:rPr>
                <w:rFonts w:hint="eastAsia"/>
                <w:vertAlign w:val="superscript"/>
              </w:rPr>
              <w:t>3</w:t>
            </w:r>
            <w:r>
              <w:rPr>
                <w:rFonts w:hint="eastAsia"/>
              </w:rPr>
              <w:t>/d（129m</w:t>
            </w:r>
            <w:r>
              <w:rPr>
                <w:rFonts w:hint="eastAsia"/>
                <w:vertAlign w:val="superscript"/>
              </w:rPr>
              <w:t>3</w:t>
            </w:r>
            <w:r>
              <w:rPr>
                <w:rFonts w:hint="eastAsia"/>
              </w:rPr>
              <w:t>）。食堂废水经隔油池处理后，与生活污水排入生活污水处理站，处理后用于高炉冲渣。隔油池依托盛泰源，生活污水处理站依托</w:t>
            </w:r>
            <w:r>
              <w:rPr>
                <w:rFonts w:hint="eastAsia"/>
                <w:szCs w:val="24"/>
              </w:rPr>
              <w:t>东方恒略</w:t>
            </w:r>
            <w:r>
              <w:rPr>
                <w:rFonts w:hint="eastAsia"/>
              </w:rPr>
              <w:t>。</w:t>
            </w:r>
          </w:p>
          <w:p>
            <w:pPr>
              <w:ind w:firstLine="480"/>
            </w:pPr>
            <w:r>
              <w:rPr>
                <w:rFonts w:hint="eastAsia"/>
              </w:rPr>
              <w:t>本项目租用盛泰源办公楼北侧一楼，员工在盛泰源食堂就餐，盛泰源办公楼和食堂污水管网均建设完成。</w:t>
            </w:r>
          </w:p>
          <w:p>
            <w:pPr>
              <w:ind w:firstLine="482"/>
              <w:rPr>
                <w:color w:val="auto"/>
              </w:rPr>
            </w:pPr>
            <w:r>
              <w:rPr>
                <w:rFonts w:hint="eastAsia"/>
                <w:b/>
                <w:bCs/>
                <w:color w:val="auto"/>
              </w:rPr>
              <w:t>可行性分析：</w:t>
            </w:r>
            <w:r>
              <w:rPr>
                <w:rFonts w:hint="eastAsia"/>
                <w:color w:val="auto"/>
              </w:rPr>
              <w:t>东方恒略生活污水处理站采用MBR一体化污水处理工艺，污水处理站的设计规模为5m</w:t>
            </w:r>
            <w:r>
              <w:rPr>
                <w:rFonts w:hint="eastAsia"/>
                <w:color w:val="auto"/>
                <w:vertAlign w:val="superscript"/>
              </w:rPr>
              <w:t>3</w:t>
            </w:r>
            <w:r>
              <w:rPr>
                <w:rFonts w:hint="eastAsia"/>
                <w:color w:val="auto"/>
              </w:rPr>
              <w:t>/h，处理工艺流程为：“生活污水--格栅--调节池--MBR一体化设备--中水池--蓄水池”。COD去除效率为80%，BOD</w:t>
            </w:r>
            <w:r>
              <w:rPr>
                <w:rFonts w:hint="eastAsia"/>
                <w:color w:val="auto"/>
                <w:vertAlign w:val="subscript"/>
              </w:rPr>
              <w:t>5</w:t>
            </w:r>
            <w:r>
              <w:rPr>
                <w:rFonts w:hint="eastAsia"/>
                <w:color w:val="auto"/>
              </w:rPr>
              <w:t>去除效率为85%、SS去除效率为90%、氨氮去除效率为70%。</w:t>
            </w:r>
          </w:p>
          <w:p>
            <w:pPr>
              <w:pStyle w:val="111"/>
              <w:spacing w:line="480" w:lineRule="exact"/>
              <w:jc w:val="both"/>
              <w:rPr>
                <w:color w:val="auto"/>
              </w:rPr>
            </w:pPr>
            <w:r>
              <w:rPr>
                <w:rFonts w:hint="eastAsia"/>
                <w:color w:val="auto"/>
              </w:rPr>
              <w:t>东方恒略生活污水处理站现最大处理量为3.38m</w:t>
            </w:r>
            <w:r>
              <w:rPr>
                <w:rFonts w:hint="eastAsia"/>
                <w:color w:val="auto"/>
                <w:vertAlign w:val="superscript"/>
              </w:rPr>
              <w:t>3</w:t>
            </w:r>
            <w:r>
              <w:rPr>
                <w:rFonts w:hint="eastAsia"/>
                <w:color w:val="auto"/>
              </w:rPr>
              <w:t>/h，本项目</w:t>
            </w:r>
            <w:r>
              <w:rPr>
                <w:color w:val="auto"/>
              </w:rPr>
              <w:t>生活污水量为</w:t>
            </w:r>
            <w:r>
              <w:rPr>
                <w:rFonts w:hint="eastAsia"/>
                <w:color w:val="auto"/>
              </w:rPr>
              <w:t>2.16</w:t>
            </w:r>
            <w:r>
              <w:rPr>
                <w:color w:val="auto"/>
              </w:rPr>
              <w:t>m</w:t>
            </w:r>
            <w:r>
              <w:rPr>
                <w:color w:val="auto"/>
                <w:vertAlign w:val="superscript"/>
              </w:rPr>
              <w:t>3</w:t>
            </w:r>
            <w:r>
              <w:rPr>
                <w:color w:val="auto"/>
              </w:rPr>
              <w:t>/d</w:t>
            </w:r>
            <w:r>
              <w:rPr>
                <w:rFonts w:hint="eastAsia"/>
                <w:color w:val="auto"/>
              </w:rPr>
              <w:t>（</w:t>
            </w:r>
            <w:r>
              <w:rPr>
                <w:color w:val="auto"/>
              </w:rPr>
              <w:t>折合</w:t>
            </w:r>
            <w:r>
              <w:rPr>
                <w:rFonts w:hint="eastAsia"/>
                <w:color w:val="auto"/>
              </w:rPr>
              <w:t>0.09</w:t>
            </w:r>
            <w:r>
              <w:rPr>
                <w:color w:val="auto"/>
              </w:rPr>
              <w:t>m</w:t>
            </w:r>
            <w:r>
              <w:rPr>
                <w:color w:val="auto"/>
                <w:vertAlign w:val="superscript"/>
              </w:rPr>
              <w:t>3</w:t>
            </w:r>
            <w:r>
              <w:rPr>
                <w:color w:val="auto"/>
              </w:rPr>
              <w:t>/h</w:t>
            </w:r>
            <w:r>
              <w:rPr>
                <w:rFonts w:hint="eastAsia"/>
                <w:color w:val="auto"/>
              </w:rPr>
              <w:t>）</w:t>
            </w:r>
            <w:r>
              <w:rPr>
                <w:color w:val="auto"/>
              </w:rPr>
              <w:t>，</w:t>
            </w:r>
            <w:r>
              <w:rPr>
                <w:rFonts w:hint="eastAsia"/>
                <w:color w:val="auto"/>
              </w:rPr>
              <w:t>本</w:t>
            </w:r>
            <w:r>
              <w:rPr>
                <w:color w:val="auto"/>
              </w:rPr>
              <w:t>项目投运后污水排放总量</w:t>
            </w:r>
            <w:r>
              <w:rPr>
                <w:rFonts w:hint="eastAsia"/>
                <w:color w:val="auto"/>
              </w:rPr>
              <w:t>（</w:t>
            </w:r>
            <w:r>
              <w:rPr>
                <w:color w:val="auto"/>
              </w:rPr>
              <w:t>3.</w:t>
            </w:r>
            <w:r>
              <w:rPr>
                <w:rFonts w:hint="eastAsia"/>
                <w:color w:val="auto"/>
              </w:rPr>
              <w:t>47</w:t>
            </w:r>
            <w:r>
              <w:rPr>
                <w:color w:val="auto"/>
              </w:rPr>
              <w:t>m</w:t>
            </w:r>
            <w:r>
              <w:rPr>
                <w:color w:val="auto"/>
                <w:vertAlign w:val="superscript"/>
              </w:rPr>
              <w:t>3</w:t>
            </w:r>
            <w:r>
              <w:rPr>
                <w:color w:val="auto"/>
              </w:rPr>
              <w:t>/h</w:t>
            </w:r>
            <w:r>
              <w:rPr>
                <w:rFonts w:hint="eastAsia"/>
                <w:color w:val="auto"/>
              </w:rPr>
              <w:t>）</w:t>
            </w:r>
            <w:r>
              <w:rPr>
                <w:color w:val="auto"/>
              </w:rPr>
              <w:t>低于设计污水处理能力</w:t>
            </w:r>
            <w:r>
              <w:rPr>
                <w:rFonts w:hint="eastAsia"/>
                <w:color w:val="auto"/>
              </w:rPr>
              <w:t>（5m</w:t>
            </w:r>
            <w:r>
              <w:rPr>
                <w:rFonts w:hint="eastAsia"/>
                <w:color w:val="auto"/>
                <w:vertAlign w:val="superscript"/>
              </w:rPr>
              <w:t>3</w:t>
            </w:r>
            <w:r>
              <w:rPr>
                <w:rFonts w:hint="eastAsia"/>
                <w:color w:val="auto"/>
              </w:rPr>
              <w:t>/h）</w:t>
            </w:r>
            <w:r>
              <w:rPr>
                <w:color w:val="auto"/>
              </w:rPr>
              <w:t>，因此现有生活污水处理站处理能力能够满足本项目生活污水的处理要求。</w:t>
            </w:r>
          </w:p>
          <w:p>
            <w:pPr>
              <w:pStyle w:val="111"/>
              <w:spacing w:line="480" w:lineRule="exact"/>
              <w:jc w:val="both"/>
              <w:rPr>
                <w:color w:val="auto"/>
              </w:rPr>
            </w:pPr>
            <w:r>
              <w:rPr>
                <w:rFonts w:hint="eastAsia"/>
                <w:color w:val="auto"/>
              </w:rPr>
              <w:t>经向东方</w:t>
            </w:r>
            <w:r>
              <w:rPr>
                <w:rFonts w:hint="eastAsia"/>
                <w:color w:val="auto"/>
                <w:lang w:val="en-US" w:eastAsia="zh-CN"/>
              </w:rPr>
              <w:t>恒略</w:t>
            </w:r>
            <w:r>
              <w:rPr>
                <w:rFonts w:hint="eastAsia"/>
                <w:color w:val="auto"/>
              </w:rPr>
              <w:t>了解，东方衡略年产50万吨高炉渣。1吨高炉渣冲渣耗水0.8m</w:t>
            </w:r>
            <w:r>
              <w:rPr>
                <w:rFonts w:hint="eastAsia"/>
                <w:color w:val="auto"/>
                <w:vertAlign w:val="superscript"/>
              </w:rPr>
              <w:t>3</w:t>
            </w:r>
            <w:r>
              <w:rPr>
                <w:rFonts w:hint="eastAsia"/>
                <w:color w:val="auto"/>
              </w:rPr>
              <w:t>。50万吨高炉渣冲渣耗水400000m</w:t>
            </w:r>
            <w:r>
              <w:rPr>
                <w:rFonts w:hint="eastAsia"/>
                <w:color w:val="auto"/>
                <w:vertAlign w:val="superscript"/>
              </w:rPr>
              <w:t>3</w:t>
            </w:r>
            <w:r>
              <w:rPr>
                <w:rFonts w:hint="eastAsia"/>
                <w:color w:val="auto"/>
              </w:rPr>
              <w:t>（1333.3m</w:t>
            </w:r>
            <w:r>
              <w:rPr>
                <w:rFonts w:hint="eastAsia"/>
                <w:color w:val="auto"/>
                <w:vertAlign w:val="superscript"/>
              </w:rPr>
              <w:t>3</w:t>
            </w:r>
            <w:r>
              <w:rPr>
                <w:rFonts w:hint="eastAsia"/>
                <w:color w:val="auto"/>
              </w:rPr>
              <w:t>/d）。本项目运营后，东方恒略生活污水处理站处理负荷为83.28m</w:t>
            </w:r>
            <w:r>
              <w:rPr>
                <w:rFonts w:hint="eastAsia"/>
                <w:color w:val="auto"/>
                <w:vertAlign w:val="superscript"/>
              </w:rPr>
              <w:t>3</w:t>
            </w:r>
            <w:r>
              <w:rPr>
                <w:rFonts w:hint="eastAsia"/>
                <w:color w:val="auto"/>
              </w:rPr>
              <w:t>/d，出水可全部回用于高炉冲渣。</w:t>
            </w:r>
          </w:p>
          <w:p>
            <w:pPr>
              <w:ind w:firstLine="482"/>
            </w:pPr>
            <w:r>
              <w:rPr>
                <w:rFonts w:hint="eastAsia"/>
                <w:b/>
                <w:bCs/>
              </w:rPr>
              <w:t>洗车废水：</w:t>
            </w:r>
            <w:r>
              <w:rPr>
                <w:rFonts w:hint="eastAsia"/>
              </w:rPr>
              <w:t>产生量为0.24m</w:t>
            </w:r>
            <w:r>
              <w:rPr>
                <w:rFonts w:hint="eastAsia"/>
                <w:vertAlign w:val="superscript"/>
              </w:rPr>
              <w:t>3</w:t>
            </w:r>
            <w:r>
              <w:rPr>
                <w:rFonts w:hint="eastAsia"/>
              </w:rPr>
              <w:t>/d，依托东方恒略标准化洗车平台。</w:t>
            </w:r>
            <w:r>
              <w:rPr>
                <w:rFonts w:hint="eastAsia"/>
                <w:lang w:val="en-US" w:eastAsia="zh-CN"/>
              </w:rPr>
              <w:t>本项目属于厂中厂，依次经东方恒略、盛泰源进入本项目厂区。项目厂区无明显厂界，与东方恒略共用厂区进出入口，因此，本项目洗车可依托东方恒略洗车平台。</w:t>
            </w:r>
          </w:p>
          <w:p>
            <w:pPr>
              <w:ind w:firstLine="480"/>
            </w:pPr>
            <w:r>
              <w:rPr>
                <w:rFonts w:hint="eastAsia"/>
              </w:rPr>
              <w:t>本项目生活污水源强见表4-3。</w:t>
            </w:r>
            <w:r>
              <w:t xml:space="preserve">        </w:t>
            </w:r>
          </w:p>
          <w:p>
            <w:pPr>
              <w:spacing w:line="240" w:lineRule="auto"/>
              <w:ind w:firstLine="0" w:firstLineChars="0"/>
              <w:jc w:val="center"/>
              <w:rPr>
                <w:rFonts w:ascii="黑体" w:hAnsi="黑体" w:eastAsia="黑体"/>
                <w:b/>
                <w:szCs w:val="21"/>
              </w:rPr>
            </w:pPr>
            <w:r>
              <w:rPr>
                <w:b/>
                <w:bCs/>
                <w:sz w:val="21"/>
                <w:szCs w:val="21"/>
              </w:rPr>
              <w:t>表</w:t>
            </w:r>
            <w:r>
              <w:rPr>
                <w:rFonts w:hint="eastAsia"/>
                <w:b/>
                <w:bCs/>
                <w:sz w:val="21"/>
                <w:szCs w:val="21"/>
              </w:rPr>
              <w:t xml:space="preserve">4-3  </w:t>
            </w:r>
            <w:r>
              <w:rPr>
                <w:b/>
                <w:bCs/>
                <w:sz w:val="21"/>
                <w:szCs w:val="21"/>
              </w:rPr>
              <w:t>项目生活污水排放一览表</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2"/>
              <w:gridCol w:w="669"/>
              <w:gridCol w:w="775"/>
              <w:gridCol w:w="925"/>
              <w:gridCol w:w="850"/>
              <w:gridCol w:w="1150"/>
              <w:gridCol w:w="871"/>
              <w:gridCol w:w="732"/>
              <w:gridCol w:w="902"/>
              <w:gridCol w:w="6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692" w:type="dxa"/>
                  <w:vMerge w:val="restart"/>
                  <w:tcBorders>
                    <w:tl2br w:val="nil"/>
                    <w:tr2bl w:val="nil"/>
                  </w:tcBorders>
                  <w:vAlign w:val="center"/>
                </w:tcPr>
                <w:p>
                  <w:pPr>
                    <w:pStyle w:val="111"/>
                    <w:spacing w:line="240" w:lineRule="exact"/>
                    <w:ind w:firstLine="0" w:firstLineChars="0"/>
                    <w:jc w:val="center"/>
                    <w:rPr>
                      <w:b/>
                      <w:sz w:val="21"/>
                      <w:szCs w:val="21"/>
                    </w:rPr>
                  </w:pPr>
                  <w:r>
                    <w:rPr>
                      <w:b/>
                      <w:sz w:val="21"/>
                      <w:szCs w:val="21"/>
                    </w:rPr>
                    <w:t>污染源</w:t>
                  </w:r>
                </w:p>
              </w:tc>
              <w:tc>
                <w:tcPr>
                  <w:tcW w:w="669" w:type="dxa"/>
                  <w:vMerge w:val="restart"/>
                  <w:tcBorders>
                    <w:tl2br w:val="nil"/>
                    <w:tr2bl w:val="nil"/>
                  </w:tcBorders>
                  <w:vAlign w:val="center"/>
                </w:tcPr>
                <w:p>
                  <w:pPr>
                    <w:pStyle w:val="111"/>
                    <w:spacing w:line="240" w:lineRule="exact"/>
                    <w:ind w:firstLine="0" w:firstLineChars="0"/>
                    <w:jc w:val="center"/>
                    <w:rPr>
                      <w:b/>
                      <w:sz w:val="21"/>
                      <w:szCs w:val="21"/>
                    </w:rPr>
                  </w:pPr>
                  <w:r>
                    <w:rPr>
                      <w:b/>
                      <w:sz w:val="21"/>
                      <w:szCs w:val="21"/>
                    </w:rPr>
                    <w:t>产生量m</w:t>
                  </w:r>
                  <w:r>
                    <w:rPr>
                      <w:b/>
                      <w:sz w:val="21"/>
                      <w:szCs w:val="21"/>
                      <w:vertAlign w:val="superscript"/>
                    </w:rPr>
                    <w:t>3</w:t>
                  </w:r>
                  <w:r>
                    <w:rPr>
                      <w:b/>
                      <w:sz w:val="21"/>
                      <w:szCs w:val="21"/>
                    </w:rPr>
                    <w:t>/a</w:t>
                  </w:r>
                </w:p>
              </w:tc>
              <w:tc>
                <w:tcPr>
                  <w:tcW w:w="775" w:type="dxa"/>
                  <w:vMerge w:val="restart"/>
                  <w:tcBorders>
                    <w:tl2br w:val="nil"/>
                    <w:tr2bl w:val="nil"/>
                  </w:tcBorders>
                  <w:vAlign w:val="center"/>
                </w:tcPr>
                <w:p>
                  <w:pPr>
                    <w:pStyle w:val="111"/>
                    <w:spacing w:line="240" w:lineRule="exact"/>
                    <w:ind w:firstLine="0" w:firstLineChars="0"/>
                    <w:jc w:val="center"/>
                    <w:rPr>
                      <w:b/>
                      <w:sz w:val="21"/>
                      <w:szCs w:val="21"/>
                    </w:rPr>
                  </w:pPr>
                  <w:r>
                    <w:rPr>
                      <w:b/>
                      <w:sz w:val="21"/>
                      <w:szCs w:val="21"/>
                    </w:rPr>
                    <w:t>污染物</w:t>
                  </w:r>
                </w:p>
              </w:tc>
              <w:tc>
                <w:tcPr>
                  <w:tcW w:w="1775" w:type="dxa"/>
                  <w:gridSpan w:val="2"/>
                  <w:tcBorders>
                    <w:tl2br w:val="nil"/>
                    <w:tr2bl w:val="nil"/>
                  </w:tcBorders>
                  <w:vAlign w:val="center"/>
                </w:tcPr>
                <w:p>
                  <w:pPr>
                    <w:pStyle w:val="111"/>
                    <w:spacing w:line="240" w:lineRule="exact"/>
                    <w:ind w:firstLine="0" w:firstLineChars="0"/>
                    <w:jc w:val="center"/>
                    <w:rPr>
                      <w:b/>
                      <w:sz w:val="21"/>
                      <w:szCs w:val="21"/>
                    </w:rPr>
                  </w:pPr>
                  <w:r>
                    <w:rPr>
                      <w:b/>
                      <w:sz w:val="21"/>
                      <w:szCs w:val="21"/>
                    </w:rPr>
                    <w:t>治理前</w:t>
                  </w:r>
                </w:p>
              </w:tc>
              <w:tc>
                <w:tcPr>
                  <w:tcW w:w="1150" w:type="dxa"/>
                  <w:vMerge w:val="restart"/>
                  <w:tcBorders>
                    <w:tl2br w:val="nil"/>
                    <w:tr2bl w:val="nil"/>
                  </w:tcBorders>
                  <w:vAlign w:val="center"/>
                </w:tcPr>
                <w:p>
                  <w:pPr>
                    <w:pStyle w:val="111"/>
                    <w:spacing w:line="240" w:lineRule="exact"/>
                    <w:ind w:firstLine="0" w:firstLineChars="0"/>
                    <w:jc w:val="center"/>
                    <w:rPr>
                      <w:b/>
                      <w:sz w:val="21"/>
                      <w:szCs w:val="21"/>
                    </w:rPr>
                  </w:pPr>
                  <w:r>
                    <w:rPr>
                      <w:b/>
                      <w:sz w:val="21"/>
                      <w:szCs w:val="21"/>
                    </w:rPr>
                    <w:t>处理措施</w:t>
                  </w:r>
                </w:p>
              </w:tc>
              <w:tc>
                <w:tcPr>
                  <w:tcW w:w="2505" w:type="dxa"/>
                  <w:gridSpan w:val="3"/>
                  <w:tcBorders>
                    <w:tl2br w:val="nil"/>
                    <w:tr2bl w:val="nil"/>
                  </w:tcBorders>
                  <w:vAlign w:val="center"/>
                </w:tcPr>
                <w:p>
                  <w:pPr>
                    <w:pStyle w:val="111"/>
                    <w:spacing w:line="240" w:lineRule="exact"/>
                    <w:ind w:firstLine="0" w:firstLineChars="0"/>
                    <w:jc w:val="center"/>
                    <w:rPr>
                      <w:b/>
                      <w:sz w:val="21"/>
                      <w:szCs w:val="21"/>
                    </w:rPr>
                  </w:pPr>
                  <w:r>
                    <w:rPr>
                      <w:b/>
                      <w:sz w:val="21"/>
                      <w:szCs w:val="21"/>
                    </w:rPr>
                    <w:t>排放情况</w:t>
                  </w:r>
                </w:p>
              </w:tc>
              <w:tc>
                <w:tcPr>
                  <w:tcW w:w="683" w:type="dxa"/>
                  <w:vMerge w:val="restart"/>
                  <w:tcBorders>
                    <w:tl2br w:val="nil"/>
                    <w:tr2bl w:val="nil"/>
                  </w:tcBorders>
                  <w:vAlign w:val="center"/>
                </w:tcPr>
                <w:p>
                  <w:pPr>
                    <w:pStyle w:val="111"/>
                    <w:spacing w:line="240" w:lineRule="exact"/>
                    <w:ind w:firstLine="0" w:firstLineChars="0"/>
                    <w:jc w:val="center"/>
                    <w:rPr>
                      <w:b/>
                      <w:sz w:val="21"/>
                      <w:szCs w:val="21"/>
                    </w:rPr>
                  </w:pPr>
                  <w:r>
                    <w:rPr>
                      <w:b/>
                      <w:sz w:val="21"/>
                      <w:szCs w:val="21"/>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692" w:type="dxa"/>
                  <w:vMerge w:val="continue"/>
                  <w:tcBorders>
                    <w:bottom w:val="single" w:color="auto" w:sz="12" w:space="0"/>
                    <w:tl2br w:val="nil"/>
                    <w:tr2bl w:val="nil"/>
                  </w:tcBorders>
                  <w:vAlign w:val="center"/>
                </w:tcPr>
                <w:p>
                  <w:pPr>
                    <w:pStyle w:val="111"/>
                    <w:spacing w:line="240" w:lineRule="exact"/>
                    <w:ind w:firstLine="0" w:firstLineChars="0"/>
                    <w:jc w:val="center"/>
                    <w:rPr>
                      <w:b/>
                      <w:sz w:val="21"/>
                      <w:szCs w:val="21"/>
                    </w:rPr>
                  </w:pPr>
                </w:p>
              </w:tc>
              <w:tc>
                <w:tcPr>
                  <w:tcW w:w="669" w:type="dxa"/>
                  <w:vMerge w:val="continue"/>
                  <w:tcBorders>
                    <w:bottom w:val="single" w:color="auto" w:sz="12" w:space="0"/>
                    <w:tl2br w:val="nil"/>
                    <w:tr2bl w:val="nil"/>
                  </w:tcBorders>
                  <w:vAlign w:val="center"/>
                </w:tcPr>
                <w:p>
                  <w:pPr>
                    <w:pStyle w:val="111"/>
                    <w:spacing w:line="240" w:lineRule="exact"/>
                    <w:ind w:firstLine="0" w:firstLineChars="0"/>
                    <w:jc w:val="center"/>
                    <w:rPr>
                      <w:b/>
                      <w:sz w:val="21"/>
                      <w:szCs w:val="21"/>
                    </w:rPr>
                  </w:pPr>
                </w:p>
              </w:tc>
              <w:tc>
                <w:tcPr>
                  <w:tcW w:w="775" w:type="dxa"/>
                  <w:vMerge w:val="continue"/>
                  <w:tcBorders>
                    <w:bottom w:val="single" w:color="auto" w:sz="12" w:space="0"/>
                    <w:tl2br w:val="nil"/>
                    <w:tr2bl w:val="nil"/>
                  </w:tcBorders>
                  <w:vAlign w:val="center"/>
                </w:tcPr>
                <w:p>
                  <w:pPr>
                    <w:pStyle w:val="111"/>
                    <w:spacing w:line="240" w:lineRule="exact"/>
                    <w:ind w:firstLine="0" w:firstLineChars="0"/>
                    <w:jc w:val="center"/>
                    <w:rPr>
                      <w:b/>
                      <w:sz w:val="21"/>
                      <w:szCs w:val="21"/>
                    </w:rPr>
                  </w:pPr>
                </w:p>
              </w:tc>
              <w:tc>
                <w:tcPr>
                  <w:tcW w:w="925" w:type="dxa"/>
                  <w:tcBorders>
                    <w:bottom w:val="single" w:color="auto" w:sz="12" w:space="0"/>
                    <w:tl2br w:val="nil"/>
                    <w:tr2bl w:val="nil"/>
                  </w:tcBorders>
                  <w:vAlign w:val="center"/>
                </w:tcPr>
                <w:p>
                  <w:pPr>
                    <w:pStyle w:val="111"/>
                    <w:spacing w:line="240" w:lineRule="exact"/>
                    <w:ind w:firstLine="0" w:firstLineChars="0"/>
                    <w:jc w:val="center"/>
                    <w:rPr>
                      <w:b/>
                      <w:sz w:val="21"/>
                      <w:szCs w:val="21"/>
                    </w:rPr>
                  </w:pPr>
                  <w:r>
                    <w:rPr>
                      <w:b/>
                      <w:sz w:val="21"/>
                      <w:szCs w:val="21"/>
                    </w:rPr>
                    <w:t>浓度</w:t>
                  </w:r>
                </w:p>
                <w:p>
                  <w:pPr>
                    <w:pStyle w:val="111"/>
                    <w:spacing w:line="240" w:lineRule="exact"/>
                    <w:ind w:firstLine="0" w:firstLineChars="0"/>
                    <w:jc w:val="center"/>
                    <w:rPr>
                      <w:b/>
                      <w:sz w:val="21"/>
                      <w:szCs w:val="21"/>
                    </w:rPr>
                  </w:pPr>
                  <w:r>
                    <w:rPr>
                      <w:b/>
                      <w:sz w:val="21"/>
                      <w:szCs w:val="21"/>
                    </w:rPr>
                    <w:t>(mg/</w:t>
                  </w:r>
                  <w:r>
                    <w:rPr>
                      <w:rFonts w:hint="eastAsia"/>
                      <w:b/>
                      <w:sz w:val="21"/>
                      <w:szCs w:val="21"/>
                    </w:rPr>
                    <w:t>L</w:t>
                  </w:r>
                  <w:r>
                    <w:rPr>
                      <w:b/>
                      <w:sz w:val="21"/>
                      <w:szCs w:val="21"/>
                    </w:rPr>
                    <w:t>)</w:t>
                  </w:r>
                </w:p>
              </w:tc>
              <w:tc>
                <w:tcPr>
                  <w:tcW w:w="850" w:type="dxa"/>
                  <w:tcBorders>
                    <w:bottom w:val="single" w:color="auto" w:sz="12" w:space="0"/>
                    <w:tl2br w:val="nil"/>
                    <w:tr2bl w:val="nil"/>
                  </w:tcBorders>
                  <w:vAlign w:val="center"/>
                </w:tcPr>
                <w:p>
                  <w:pPr>
                    <w:pStyle w:val="111"/>
                    <w:spacing w:line="240" w:lineRule="exact"/>
                    <w:ind w:firstLine="0" w:firstLineChars="0"/>
                    <w:jc w:val="center"/>
                    <w:rPr>
                      <w:b/>
                      <w:sz w:val="21"/>
                      <w:szCs w:val="21"/>
                    </w:rPr>
                  </w:pPr>
                  <w:r>
                    <w:rPr>
                      <w:b/>
                      <w:sz w:val="21"/>
                      <w:szCs w:val="21"/>
                    </w:rPr>
                    <w:t>产生量(t/a)</w:t>
                  </w:r>
                </w:p>
              </w:tc>
              <w:tc>
                <w:tcPr>
                  <w:tcW w:w="1150" w:type="dxa"/>
                  <w:vMerge w:val="continue"/>
                  <w:tcBorders>
                    <w:bottom w:val="single" w:color="auto" w:sz="12" w:space="0"/>
                    <w:tl2br w:val="nil"/>
                    <w:tr2bl w:val="nil"/>
                  </w:tcBorders>
                  <w:vAlign w:val="center"/>
                </w:tcPr>
                <w:p>
                  <w:pPr>
                    <w:pStyle w:val="111"/>
                    <w:spacing w:line="240" w:lineRule="exact"/>
                    <w:ind w:firstLine="0" w:firstLineChars="0"/>
                    <w:jc w:val="center"/>
                    <w:rPr>
                      <w:b/>
                      <w:sz w:val="21"/>
                      <w:szCs w:val="21"/>
                    </w:rPr>
                  </w:pPr>
                </w:p>
              </w:tc>
              <w:tc>
                <w:tcPr>
                  <w:tcW w:w="871" w:type="dxa"/>
                  <w:tcBorders>
                    <w:bottom w:val="single" w:color="auto" w:sz="12" w:space="0"/>
                    <w:tl2br w:val="nil"/>
                    <w:tr2bl w:val="nil"/>
                  </w:tcBorders>
                  <w:vAlign w:val="center"/>
                </w:tcPr>
                <w:p>
                  <w:pPr>
                    <w:pStyle w:val="111"/>
                    <w:spacing w:line="240" w:lineRule="exact"/>
                    <w:ind w:firstLine="0" w:firstLineChars="0"/>
                    <w:jc w:val="center"/>
                    <w:rPr>
                      <w:b/>
                      <w:sz w:val="21"/>
                      <w:szCs w:val="21"/>
                    </w:rPr>
                  </w:pPr>
                  <w:r>
                    <w:rPr>
                      <w:b/>
                      <w:sz w:val="21"/>
                      <w:szCs w:val="21"/>
                    </w:rPr>
                    <w:t>排放量</w:t>
                  </w:r>
                </w:p>
                <w:p>
                  <w:pPr>
                    <w:pStyle w:val="111"/>
                    <w:spacing w:line="240" w:lineRule="exact"/>
                    <w:ind w:firstLine="0" w:firstLineChars="0"/>
                    <w:jc w:val="center"/>
                    <w:rPr>
                      <w:b/>
                      <w:sz w:val="21"/>
                      <w:szCs w:val="21"/>
                    </w:rPr>
                  </w:pPr>
                  <w:r>
                    <w:rPr>
                      <w:b/>
                      <w:sz w:val="21"/>
                      <w:szCs w:val="21"/>
                    </w:rPr>
                    <w:t>(m</w:t>
                  </w:r>
                  <w:r>
                    <w:rPr>
                      <w:b/>
                      <w:sz w:val="21"/>
                      <w:szCs w:val="21"/>
                      <w:vertAlign w:val="superscript"/>
                    </w:rPr>
                    <w:t>3</w:t>
                  </w:r>
                  <w:r>
                    <w:rPr>
                      <w:b/>
                      <w:sz w:val="21"/>
                      <w:szCs w:val="21"/>
                    </w:rPr>
                    <w:t>/h)</w:t>
                  </w:r>
                </w:p>
              </w:tc>
              <w:tc>
                <w:tcPr>
                  <w:tcW w:w="732" w:type="dxa"/>
                  <w:tcBorders>
                    <w:bottom w:val="single" w:color="auto" w:sz="12" w:space="0"/>
                    <w:tl2br w:val="nil"/>
                    <w:tr2bl w:val="nil"/>
                  </w:tcBorders>
                  <w:vAlign w:val="center"/>
                </w:tcPr>
                <w:p>
                  <w:pPr>
                    <w:pStyle w:val="111"/>
                    <w:spacing w:line="240" w:lineRule="exact"/>
                    <w:ind w:firstLine="0" w:firstLineChars="0"/>
                    <w:jc w:val="center"/>
                    <w:rPr>
                      <w:b/>
                      <w:sz w:val="21"/>
                      <w:szCs w:val="21"/>
                    </w:rPr>
                  </w:pPr>
                  <w:r>
                    <w:rPr>
                      <w:b/>
                      <w:sz w:val="21"/>
                      <w:szCs w:val="21"/>
                    </w:rPr>
                    <w:t>污染物</w:t>
                  </w:r>
                </w:p>
              </w:tc>
              <w:tc>
                <w:tcPr>
                  <w:tcW w:w="902" w:type="dxa"/>
                  <w:tcBorders>
                    <w:bottom w:val="single" w:color="auto" w:sz="12" w:space="0"/>
                    <w:tl2br w:val="nil"/>
                    <w:tr2bl w:val="nil"/>
                  </w:tcBorders>
                  <w:vAlign w:val="center"/>
                </w:tcPr>
                <w:p>
                  <w:pPr>
                    <w:pStyle w:val="111"/>
                    <w:spacing w:line="240" w:lineRule="exact"/>
                    <w:ind w:firstLine="0" w:firstLineChars="0"/>
                    <w:jc w:val="center"/>
                    <w:rPr>
                      <w:b/>
                      <w:sz w:val="21"/>
                      <w:szCs w:val="21"/>
                    </w:rPr>
                  </w:pPr>
                  <w:r>
                    <w:rPr>
                      <w:b/>
                      <w:sz w:val="21"/>
                      <w:szCs w:val="21"/>
                    </w:rPr>
                    <w:t>浓度</w:t>
                  </w:r>
                </w:p>
                <w:p>
                  <w:pPr>
                    <w:pStyle w:val="111"/>
                    <w:spacing w:line="240" w:lineRule="exact"/>
                    <w:ind w:firstLine="0" w:firstLineChars="0"/>
                    <w:jc w:val="center"/>
                    <w:rPr>
                      <w:b/>
                      <w:sz w:val="21"/>
                      <w:szCs w:val="21"/>
                    </w:rPr>
                  </w:pPr>
                  <w:r>
                    <w:rPr>
                      <w:b/>
                      <w:sz w:val="21"/>
                      <w:szCs w:val="21"/>
                    </w:rPr>
                    <w:t>(mg/</w:t>
                  </w:r>
                  <w:r>
                    <w:rPr>
                      <w:rFonts w:hint="eastAsia"/>
                      <w:b/>
                      <w:sz w:val="21"/>
                      <w:szCs w:val="21"/>
                    </w:rPr>
                    <w:t>L</w:t>
                  </w:r>
                  <w:r>
                    <w:rPr>
                      <w:b/>
                      <w:sz w:val="21"/>
                      <w:szCs w:val="21"/>
                    </w:rPr>
                    <w:t>)</w:t>
                  </w:r>
                </w:p>
              </w:tc>
              <w:tc>
                <w:tcPr>
                  <w:tcW w:w="683" w:type="dxa"/>
                  <w:vMerge w:val="continue"/>
                  <w:tcBorders>
                    <w:bottom w:val="single" w:color="auto" w:sz="12" w:space="0"/>
                    <w:tl2br w:val="nil"/>
                    <w:tr2bl w:val="nil"/>
                  </w:tcBorders>
                  <w:vAlign w:val="center"/>
                </w:tcPr>
                <w:p>
                  <w:pPr>
                    <w:pStyle w:val="111"/>
                    <w:spacing w:line="2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692" w:type="dxa"/>
                  <w:vMerge w:val="restart"/>
                  <w:tcBorders>
                    <w:top w:val="single" w:color="auto" w:sz="12" w:space="0"/>
                  </w:tcBorders>
                  <w:vAlign w:val="center"/>
                </w:tcPr>
                <w:p>
                  <w:pPr>
                    <w:pStyle w:val="111"/>
                    <w:spacing w:line="240" w:lineRule="exact"/>
                    <w:ind w:firstLine="0" w:firstLineChars="0"/>
                    <w:jc w:val="center"/>
                    <w:rPr>
                      <w:sz w:val="21"/>
                      <w:szCs w:val="21"/>
                    </w:rPr>
                  </w:pPr>
                  <w:r>
                    <w:rPr>
                      <w:sz w:val="21"/>
                      <w:szCs w:val="21"/>
                    </w:rPr>
                    <w:t>生活污水</w:t>
                  </w:r>
                </w:p>
              </w:tc>
              <w:tc>
                <w:tcPr>
                  <w:tcW w:w="669" w:type="dxa"/>
                  <w:vMerge w:val="restart"/>
                  <w:tcBorders>
                    <w:top w:val="single" w:color="auto" w:sz="12" w:space="0"/>
                  </w:tcBorders>
                  <w:vAlign w:val="center"/>
                </w:tcPr>
                <w:p>
                  <w:pPr>
                    <w:pStyle w:val="111"/>
                    <w:spacing w:line="240" w:lineRule="exact"/>
                    <w:ind w:firstLine="0" w:firstLineChars="0"/>
                    <w:jc w:val="center"/>
                    <w:rPr>
                      <w:sz w:val="21"/>
                      <w:szCs w:val="21"/>
                    </w:rPr>
                  </w:pPr>
                  <w:r>
                    <w:rPr>
                      <w:rFonts w:hint="eastAsia"/>
                      <w:sz w:val="21"/>
                      <w:szCs w:val="21"/>
                    </w:rPr>
                    <w:t>648</w:t>
                  </w:r>
                </w:p>
              </w:tc>
              <w:tc>
                <w:tcPr>
                  <w:tcW w:w="775" w:type="dxa"/>
                  <w:tcBorders>
                    <w:top w:val="single" w:color="auto" w:sz="12" w:space="0"/>
                  </w:tcBorders>
                  <w:vAlign w:val="center"/>
                </w:tcPr>
                <w:p>
                  <w:pPr>
                    <w:pStyle w:val="111"/>
                    <w:spacing w:line="240" w:lineRule="exact"/>
                    <w:ind w:firstLine="0" w:firstLineChars="0"/>
                    <w:jc w:val="center"/>
                    <w:rPr>
                      <w:sz w:val="21"/>
                      <w:szCs w:val="21"/>
                    </w:rPr>
                  </w:pPr>
                  <w:r>
                    <w:rPr>
                      <w:sz w:val="21"/>
                      <w:szCs w:val="21"/>
                    </w:rPr>
                    <w:t>COD</w:t>
                  </w:r>
                </w:p>
              </w:tc>
              <w:tc>
                <w:tcPr>
                  <w:tcW w:w="925" w:type="dxa"/>
                  <w:tcBorders>
                    <w:top w:val="single" w:color="auto" w:sz="12" w:space="0"/>
                  </w:tcBorders>
                  <w:vAlign w:val="center"/>
                </w:tcPr>
                <w:p>
                  <w:pPr>
                    <w:pStyle w:val="111"/>
                    <w:spacing w:line="240" w:lineRule="exact"/>
                    <w:ind w:firstLine="0" w:firstLineChars="0"/>
                    <w:jc w:val="center"/>
                    <w:rPr>
                      <w:sz w:val="21"/>
                      <w:szCs w:val="21"/>
                    </w:rPr>
                  </w:pPr>
                  <w:r>
                    <w:rPr>
                      <w:sz w:val="21"/>
                      <w:szCs w:val="21"/>
                    </w:rPr>
                    <w:t>250</w:t>
                  </w:r>
                </w:p>
              </w:tc>
              <w:tc>
                <w:tcPr>
                  <w:tcW w:w="850" w:type="dxa"/>
                  <w:tcBorders>
                    <w:top w:val="single" w:color="auto" w:sz="12" w:space="0"/>
                  </w:tcBorders>
                  <w:vAlign w:val="center"/>
                </w:tcPr>
                <w:p>
                  <w:pPr>
                    <w:pStyle w:val="111"/>
                    <w:spacing w:line="240" w:lineRule="exact"/>
                    <w:ind w:firstLine="0" w:firstLineChars="0"/>
                    <w:jc w:val="center"/>
                    <w:rPr>
                      <w:sz w:val="21"/>
                      <w:szCs w:val="21"/>
                    </w:rPr>
                  </w:pPr>
                  <w:r>
                    <w:rPr>
                      <w:rFonts w:hint="eastAsia"/>
                      <w:sz w:val="21"/>
                      <w:szCs w:val="21"/>
                    </w:rPr>
                    <w:t>0.162</w:t>
                  </w:r>
                </w:p>
              </w:tc>
              <w:tc>
                <w:tcPr>
                  <w:tcW w:w="1150" w:type="dxa"/>
                  <w:vMerge w:val="restart"/>
                  <w:tcBorders>
                    <w:top w:val="single" w:color="auto" w:sz="12" w:space="0"/>
                  </w:tcBorders>
                  <w:vAlign w:val="center"/>
                </w:tcPr>
                <w:p>
                  <w:pPr>
                    <w:pStyle w:val="111"/>
                    <w:spacing w:line="240" w:lineRule="exact"/>
                    <w:ind w:firstLine="0" w:firstLineChars="0"/>
                    <w:jc w:val="center"/>
                    <w:rPr>
                      <w:sz w:val="21"/>
                      <w:szCs w:val="21"/>
                    </w:rPr>
                  </w:pPr>
                  <w:r>
                    <w:rPr>
                      <w:rFonts w:hint="eastAsia"/>
                      <w:sz w:val="21"/>
                      <w:szCs w:val="21"/>
                    </w:rPr>
                    <w:t>东方恒略</w:t>
                  </w:r>
                  <w:r>
                    <w:rPr>
                      <w:sz w:val="21"/>
                      <w:szCs w:val="21"/>
                    </w:rPr>
                    <w:t>生活污水处理站</w:t>
                  </w:r>
                </w:p>
              </w:tc>
              <w:tc>
                <w:tcPr>
                  <w:tcW w:w="871" w:type="dxa"/>
                  <w:vMerge w:val="restart"/>
                  <w:tcBorders>
                    <w:top w:val="single" w:color="auto" w:sz="12" w:space="0"/>
                  </w:tcBorders>
                  <w:vAlign w:val="center"/>
                </w:tcPr>
                <w:p>
                  <w:pPr>
                    <w:pStyle w:val="111"/>
                    <w:spacing w:line="240" w:lineRule="exact"/>
                    <w:ind w:firstLine="0" w:firstLineChars="0"/>
                    <w:jc w:val="center"/>
                    <w:rPr>
                      <w:sz w:val="21"/>
                      <w:szCs w:val="21"/>
                    </w:rPr>
                  </w:pPr>
                  <w:r>
                    <w:rPr>
                      <w:sz w:val="21"/>
                      <w:szCs w:val="21"/>
                    </w:rPr>
                    <w:t>0</w:t>
                  </w:r>
                </w:p>
              </w:tc>
              <w:tc>
                <w:tcPr>
                  <w:tcW w:w="732" w:type="dxa"/>
                  <w:tcBorders>
                    <w:top w:val="single" w:color="auto" w:sz="12" w:space="0"/>
                  </w:tcBorders>
                  <w:vAlign w:val="center"/>
                </w:tcPr>
                <w:p>
                  <w:pPr>
                    <w:pStyle w:val="111"/>
                    <w:spacing w:line="240" w:lineRule="exact"/>
                    <w:ind w:firstLine="0" w:firstLineChars="0"/>
                    <w:jc w:val="center"/>
                    <w:rPr>
                      <w:sz w:val="21"/>
                      <w:szCs w:val="21"/>
                    </w:rPr>
                  </w:pPr>
                  <w:r>
                    <w:rPr>
                      <w:sz w:val="21"/>
                      <w:szCs w:val="21"/>
                    </w:rPr>
                    <w:t>COD</w:t>
                  </w:r>
                </w:p>
              </w:tc>
              <w:tc>
                <w:tcPr>
                  <w:tcW w:w="902" w:type="dxa"/>
                  <w:tcBorders>
                    <w:top w:val="single" w:color="auto" w:sz="12" w:space="0"/>
                  </w:tcBorders>
                  <w:vAlign w:val="center"/>
                </w:tcPr>
                <w:p>
                  <w:pPr>
                    <w:pStyle w:val="111"/>
                    <w:spacing w:line="240" w:lineRule="exact"/>
                    <w:ind w:firstLine="0" w:firstLineChars="0"/>
                    <w:jc w:val="center"/>
                    <w:rPr>
                      <w:sz w:val="21"/>
                      <w:szCs w:val="21"/>
                    </w:rPr>
                  </w:pPr>
                  <w:r>
                    <w:rPr>
                      <w:rFonts w:hint="eastAsia"/>
                      <w:sz w:val="21"/>
                      <w:szCs w:val="21"/>
                    </w:rPr>
                    <w:t>50</w:t>
                  </w:r>
                </w:p>
              </w:tc>
              <w:tc>
                <w:tcPr>
                  <w:tcW w:w="683" w:type="dxa"/>
                  <w:vMerge w:val="restart"/>
                  <w:tcBorders>
                    <w:top w:val="single" w:color="auto" w:sz="12" w:space="0"/>
                  </w:tcBorders>
                  <w:vAlign w:val="center"/>
                </w:tcPr>
                <w:p>
                  <w:pPr>
                    <w:pStyle w:val="111"/>
                    <w:spacing w:line="240" w:lineRule="exact"/>
                    <w:ind w:firstLine="0" w:firstLineChars="0"/>
                    <w:jc w:val="center"/>
                    <w:rPr>
                      <w:sz w:val="21"/>
                      <w:szCs w:val="21"/>
                    </w:rPr>
                  </w:pPr>
                  <w:r>
                    <w:rPr>
                      <w:w w:val="90"/>
                      <w:sz w:val="21"/>
                      <w:szCs w:val="21"/>
                    </w:rPr>
                    <w:t>回用于</w:t>
                  </w:r>
                  <w:r>
                    <w:rPr>
                      <w:rFonts w:hint="eastAsia"/>
                      <w:w w:val="90"/>
                      <w:sz w:val="21"/>
                      <w:szCs w:val="21"/>
                    </w:rPr>
                    <w:t>高炉冲渣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692" w:type="dxa"/>
                  <w:vMerge w:val="continue"/>
                  <w:tcBorders>
                    <w:tl2br w:val="nil"/>
                    <w:tr2bl w:val="nil"/>
                  </w:tcBorders>
                  <w:vAlign w:val="center"/>
                </w:tcPr>
                <w:p>
                  <w:pPr>
                    <w:pStyle w:val="111"/>
                    <w:spacing w:line="240" w:lineRule="exact"/>
                    <w:ind w:firstLine="0" w:firstLineChars="0"/>
                    <w:jc w:val="center"/>
                    <w:rPr>
                      <w:sz w:val="21"/>
                      <w:szCs w:val="21"/>
                    </w:rPr>
                  </w:pPr>
                </w:p>
              </w:tc>
              <w:tc>
                <w:tcPr>
                  <w:tcW w:w="669" w:type="dxa"/>
                  <w:vMerge w:val="continue"/>
                  <w:tcBorders>
                    <w:tl2br w:val="nil"/>
                    <w:tr2bl w:val="nil"/>
                  </w:tcBorders>
                  <w:vAlign w:val="center"/>
                </w:tcPr>
                <w:p>
                  <w:pPr>
                    <w:pStyle w:val="111"/>
                    <w:spacing w:line="240" w:lineRule="exact"/>
                    <w:ind w:firstLine="0" w:firstLineChars="0"/>
                    <w:jc w:val="center"/>
                    <w:rPr>
                      <w:sz w:val="21"/>
                      <w:szCs w:val="21"/>
                    </w:rPr>
                  </w:pPr>
                </w:p>
              </w:tc>
              <w:tc>
                <w:tcPr>
                  <w:tcW w:w="775" w:type="dxa"/>
                  <w:tcBorders>
                    <w:tl2br w:val="nil"/>
                    <w:tr2bl w:val="nil"/>
                  </w:tcBorders>
                  <w:vAlign w:val="center"/>
                </w:tcPr>
                <w:p>
                  <w:pPr>
                    <w:pStyle w:val="111"/>
                    <w:spacing w:line="240" w:lineRule="exact"/>
                    <w:ind w:firstLine="0" w:firstLineChars="0"/>
                    <w:jc w:val="center"/>
                    <w:rPr>
                      <w:sz w:val="21"/>
                      <w:szCs w:val="21"/>
                    </w:rPr>
                  </w:pPr>
                  <w:r>
                    <w:rPr>
                      <w:sz w:val="21"/>
                      <w:szCs w:val="21"/>
                    </w:rPr>
                    <w:t>BOD</w:t>
                  </w:r>
                  <w:r>
                    <w:rPr>
                      <w:sz w:val="21"/>
                      <w:szCs w:val="21"/>
                      <w:vertAlign w:val="subscript"/>
                    </w:rPr>
                    <w:t>5</w:t>
                  </w:r>
                </w:p>
              </w:tc>
              <w:tc>
                <w:tcPr>
                  <w:tcW w:w="925" w:type="dxa"/>
                  <w:tcBorders>
                    <w:tl2br w:val="nil"/>
                    <w:tr2bl w:val="nil"/>
                  </w:tcBorders>
                  <w:vAlign w:val="center"/>
                </w:tcPr>
                <w:p>
                  <w:pPr>
                    <w:pStyle w:val="111"/>
                    <w:spacing w:line="240" w:lineRule="exact"/>
                    <w:ind w:firstLine="0" w:firstLineChars="0"/>
                    <w:jc w:val="center"/>
                    <w:rPr>
                      <w:sz w:val="21"/>
                      <w:szCs w:val="21"/>
                    </w:rPr>
                  </w:pPr>
                  <w:r>
                    <w:rPr>
                      <w:sz w:val="21"/>
                      <w:szCs w:val="21"/>
                    </w:rPr>
                    <w:t>150</w:t>
                  </w:r>
                </w:p>
              </w:tc>
              <w:tc>
                <w:tcPr>
                  <w:tcW w:w="850"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0.097</w:t>
                  </w:r>
                </w:p>
              </w:tc>
              <w:tc>
                <w:tcPr>
                  <w:tcW w:w="1150" w:type="dxa"/>
                  <w:vMerge w:val="continue"/>
                  <w:tcBorders>
                    <w:tl2br w:val="nil"/>
                    <w:tr2bl w:val="nil"/>
                  </w:tcBorders>
                  <w:vAlign w:val="center"/>
                </w:tcPr>
                <w:p>
                  <w:pPr>
                    <w:pStyle w:val="111"/>
                    <w:spacing w:line="240" w:lineRule="exact"/>
                    <w:ind w:firstLine="0" w:firstLineChars="0"/>
                    <w:jc w:val="center"/>
                    <w:rPr>
                      <w:sz w:val="21"/>
                      <w:szCs w:val="21"/>
                    </w:rPr>
                  </w:pPr>
                </w:p>
              </w:tc>
              <w:tc>
                <w:tcPr>
                  <w:tcW w:w="871" w:type="dxa"/>
                  <w:vMerge w:val="continue"/>
                  <w:tcBorders>
                    <w:tl2br w:val="nil"/>
                    <w:tr2bl w:val="nil"/>
                  </w:tcBorders>
                  <w:vAlign w:val="center"/>
                </w:tcPr>
                <w:p>
                  <w:pPr>
                    <w:pStyle w:val="111"/>
                    <w:spacing w:line="240" w:lineRule="exact"/>
                    <w:ind w:firstLine="0" w:firstLineChars="0"/>
                    <w:jc w:val="center"/>
                    <w:rPr>
                      <w:sz w:val="21"/>
                      <w:szCs w:val="21"/>
                    </w:rPr>
                  </w:pPr>
                </w:p>
              </w:tc>
              <w:tc>
                <w:tcPr>
                  <w:tcW w:w="732" w:type="dxa"/>
                  <w:tcBorders>
                    <w:tl2br w:val="nil"/>
                    <w:tr2bl w:val="nil"/>
                  </w:tcBorders>
                  <w:vAlign w:val="center"/>
                </w:tcPr>
                <w:p>
                  <w:pPr>
                    <w:pStyle w:val="111"/>
                    <w:spacing w:line="240" w:lineRule="exact"/>
                    <w:ind w:firstLine="0" w:firstLineChars="0"/>
                    <w:jc w:val="center"/>
                    <w:rPr>
                      <w:sz w:val="21"/>
                      <w:szCs w:val="21"/>
                    </w:rPr>
                  </w:pPr>
                  <w:r>
                    <w:rPr>
                      <w:sz w:val="21"/>
                      <w:szCs w:val="21"/>
                    </w:rPr>
                    <w:t>BOD</w:t>
                  </w:r>
                  <w:r>
                    <w:rPr>
                      <w:sz w:val="21"/>
                      <w:szCs w:val="21"/>
                      <w:vertAlign w:val="subscript"/>
                    </w:rPr>
                    <w:t>5</w:t>
                  </w:r>
                </w:p>
              </w:tc>
              <w:tc>
                <w:tcPr>
                  <w:tcW w:w="902"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23</w:t>
                  </w:r>
                </w:p>
              </w:tc>
              <w:tc>
                <w:tcPr>
                  <w:tcW w:w="683" w:type="dxa"/>
                  <w:vMerge w:val="continue"/>
                  <w:tcBorders>
                    <w:tl2br w:val="nil"/>
                    <w:tr2bl w:val="nil"/>
                  </w:tcBorders>
                  <w:vAlign w:val="center"/>
                </w:tcPr>
                <w:p>
                  <w:pPr>
                    <w:pStyle w:val="111"/>
                    <w:spacing w:line="2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692" w:type="dxa"/>
                  <w:vMerge w:val="continue"/>
                  <w:tcBorders>
                    <w:tl2br w:val="nil"/>
                    <w:tr2bl w:val="nil"/>
                  </w:tcBorders>
                  <w:vAlign w:val="center"/>
                </w:tcPr>
                <w:p>
                  <w:pPr>
                    <w:pStyle w:val="111"/>
                    <w:spacing w:line="240" w:lineRule="exact"/>
                    <w:ind w:firstLine="0" w:firstLineChars="0"/>
                    <w:jc w:val="center"/>
                    <w:rPr>
                      <w:sz w:val="21"/>
                      <w:szCs w:val="21"/>
                    </w:rPr>
                  </w:pPr>
                </w:p>
              </w:tc>
              <w:tc>
                <w:tcPr>
                  <w:tcW w:w="669" w:type="dxa"/>
                  <w:vMerge w:val="continue"/>
                  <w:tcBorders>
                    <w:tl2br w:val="nil"/>
                    <w:tr2bl w:val="nil"/>
                  </w:tcBorders>
                  <w:vAlign w:val="center"/>
                </w:tcPr>
                <w:p>
                  <w:pPr>
                    <w:pStyle w:val="111"/>
                    <w:spacing w:line="240" w:lineRule="exact"/>
                    <w:ind w:firstLine="0" w:firstLineChars="0"/>
                    <w:jc w:val="center"/>
                    <w:rPr>
                      <w:sz w:val="21"/>
                      <w:szCs w:val="21"/>
                    </w:rPr>
                  </w:pPr>
                </w:p>
              </w:tc>
              <w:tc>
                <w:tcPr>
                  <w:tcW w:w="775" w:type="dxa"/>
                  <w:tcBorders>
                    <w:tl2br w:val="nil"/>
                    <w:tr2bl w:val="nil"/>
                  </w:tcBorders>
                  <w:vAlign w:val="center"/>
                </w:tcPr>
                <w:p>
                  <w:pPr>
                    <w:pStyle w:val="111"/>
                    <w:spacing w:line="240" w:lineRule="exact"/>
                    <w:ind w:firstLine="0" w:firstLineChars="0"/>
                    <w:jc w:val="center"/>
                    <w:rPr>
                      <w:sz w:val="21"/>
                      <w:szCs w:val="21"/>
                    </w:rPr>
                  </w:pPr>
                  <w:r>
                    <w:rPr>
                      <w:sz w:val="21"/>
                      <w:szCs w:val="21"/>
                    </w:rPr>
                    <w:t>SS</w:t>
                  </w:r>
                </w:p>
              </w:tc>
              <w:tc>
                <w:tcPr>
                  <w:tcW w:w="925" w:type="dxa"/>
                  <w:tcBorders>
                    <w:tl2br w:val="nil"/>
                    <w:tr2bl w:val="nil"/>
                  </w:tcBorders>
                  <w:vAlign w:val="center"/>
                </w:tcPr>
                <w:p>
                  <w:pPr>
                    <w:pStyle w:val="111"/>
                    <w:spacing w:line="240" w:lineRule="exact"/>
                    <w:ind w:firstLine="0" w:firstLineChars="0"/>
                    <w:jc w:val="center"/>
                    <w:rPr>
                      <w:sz w:val="21"/>
                      <w:szCs w:val="21"/>
                    </w:rPr>
                  </w:pPr>
                  <w:r>
                    <w:rPr>
                      <w:sz w:val="21"/>
                      <w:szCs w:val="21"/>
                    </w:rPr>
                    <w:t>200</w:t>
                  </w:r>
                </w:p>
              </w:tc>
              <w:tc>
                <w:tcPr>
                  <w:tcW w:w="850"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0.130</w:t>
                  </w:r>
                </w:p>
              </w:tc>
              <w:tc>
                <w:tcPr>
                  <w:tcW w:w="1150" w:type="dxa"/>
                  <w:vMerge w:val="continue"/>
                  <w:tcBorders>
                    <w:tl2br w:val="nil"/>
                    <w:tr2bl w:val="nil"/>
                  </w:tcBorders>
                  <w:vAlign w:val="center"/>
                </w:tcPr>
                <w:p>
                  <w:pPr>
                    <w:pStyle w:val="111"/>
                    <w:spacing w:line="240" w:lineRule="exact"/>
                    <w:ind w:firstLine="0" w:firstLineChars="0"/>
                    <w:jc w:val="center"/>
                    <w:rPr>
                      <w:sz w:val="21"/>
                      <w:szCs w:val="21"/>
                    </w:rPr>
                  </w:pPr>
                </w:p>
              </w:tc>
              <w:tc>
                <w:tcPr>
                  <w:tcW w:w="871" w:type="dxa"/>
                  <w:vMerge w:val="continue"/>
                  <w:tcBorders>
                    <w:tl2br w:val="nil"/>
                    <w:tr2bl w:val="nil"/>
                  </w:tcBorders>
                  <w:vAlign w:val="center"/>
                </w:tcPr>
                <w:p>
                  <w:pPr>
                    <w:pStyle w:val="111"/>
                    <w:spacing w:line="240" w:lineRule="exact"/>
                    <w:ind w:firstLine="0" w:firstLineChars="0"/>
                    <w:jc w:val="center"/>
                    <w:rPr>
                      <w:sz w:val="21"/>
                      <w:szCs w:val="21"/>
                    </w:rPr>
                  </w:pPr>
                </w:p>
              </w:tc>
              <w:tc>
                <w:tcPr>
                  <w:tcW w:w="732" w:type="dxa"/>
                  <w:tcBorders>
                    <w:tl2br w:val="nil"/>
                    <w:tr2bl w:val="nil"/>
                  </w:tcBorders>
                  <w:vAlign w:val="center"/>
                </w:tcPr>
                <w:p>
                  <w:pPr>
                    <w:pStyle w:val="111"/>
                    <w:spacing w:line="240" w:lineRule="exact"/>
                    <w:ind w:firstLine="0" w:firstLineChars="0"/>
                    <w:jc w:val="center"/>
                    <w:rPr>
                      <w:sz w:val="21"/>
                      <w:szCs w:val="21"/>
                    </w:rPr>
                  </w:pPr>
                  <w:r>
                    <w:rPr>
                      <w:sz w:val="21"/>
                      <w:szCs w:val="21"/>
                    </w:rPr>
                    <w:t>SS</w:t>
                  </w:r>
                </w:p>
              </w:tc>
              <w:tc>
                <w:tcPr>
                  <w:tcW w:w="902"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20</w:t>
                  </w:r>
                </w:p>
              </w:tc>
              <w:tc>
                <w:tcPr>
                  <w:tcW w:w="683" w:type="dxa"/>
                  <w:vMerge w:val="continue"/>
                  <w:tcBorders>
                    <w:tl2br w:val="nil"/>
                    <w:tr2bl w:val="nil"/>
                  </w:tcBorders>
                  <w:vAlign w:val="center"/>
                </w:tcPr>
                <w:p>
                  <w:pPr>
                    <w:pStyle w:val="111"/>
                    <w:spacing w:line="2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692" w:type="dxa"/>
                  <w:vMerge w:val="continue"/>
                  <w:tcBorders>
                    <w:tl2br w:val="nil"/>
                    <w:tr2bl w:val="nil"/>
                  </w:tcBorders>
                  <w:vAlign w:val="center"/>
                </w:tcPr>
                <w:p>
                  <w:pPr>
                    <w:pStyle w:val="111"/>
                    <w:spacing w:line="240" w:lineRule="exact"/>
                    <w:ind w:firstLine="0" w:firstLineChars="0"/>
                    <w:jc w:val="center"/>
                    <w:rPr>
                      <w:sz w:val="21"/>
                      <w:szCs w:val="21"/>
                    </w:rPr>
                  </w:pPr>
                </w:p>
              </w:tc>
              <w:tc>
                <w:tcPr>
                  <w:tcW w:w="669" w:type="dxa"/>
                  <w:vMerge w:val="continue"/>
                  <w:tcBorders>
                    <w:tl2br w:val="nil"/>
                    <w:tr2bl w:val="nil"/>
                  </w:tcBorders>
                  <w:vAlign w:val="center"/>
                </w:tcPr>
                <w:p>
                  <w:pPr>
                    <w:pStyle w:val="111"/>
                    <w:spacing w:line="240" w:lineRule="exact"/>
                    <w:ind w:firstLine="0" w:firstLineChars="0"/>
                    <w:jc w:val="center"/>
                    <w:rPr>
                      <w:sz w:val="21"/>
                      <w:szCs w:val="21"/>
                    </w:rPr>
                  </w:pPr>
                </w:p>
              </w:tc>
              <w:tc>
                <w:tcPr>
                  <w:tcW w:w="775" w:type="dxa"/>
                  <w:tcBorders>
                    <w:tl2br w:val="nil"/>
                    <w:tr2bl w:val="nil"/>
                  </w:tcBorders>
                  <w:vAlign w:val="center"/>
                </w:tcPr>
                <w:p>
                  <w:pPr>
                    <w:pStyle w:val="111"/>
                    <w:spacing w:line="240" w:lineRule="exact"/>
                    <w:ind w:firstLine="0" w:firstLineChars="0"/>
                    <w:jc w:val="center"/>
                    <w:rPr>
                      <w:sz w:val="21"/>
                      <w:szCs w:val="21"/>
                    </w:rPr>
                  </w:pPr>
                  <w:r>
                    <w:rPr>
                      <w:sz w:val="21"/>
                      <w:szCs w:val="21"/>
                    </w:rPr>
                    <w:t>氨氮</w:t>
                  </w:r>
                </w:p>
              </w:tc>
              <w:tc>
                <w:tcPr>
                  <w:tcW w:w="925" w:type="dxa"/>
                  <w:tcBorders>
                    <w:tl2br w:val="nil"/>
                    <w:tr2bl w:val="nil"/>
                  </w:tcBorders>
                  <w:vAlign w:val="center"/>
                </w:tcPr>
                <w:p>
                  <w:pPr>
                    <w:pStyle w:val="111"/>
                    <w:spacing w:line="240" w:lineRule="exact"/>
                    <w:ind w:firstLine="0" w:firstLineChars="0"/>
                    <w:jc w:val="center"/>
                    <w:rPr>
                      <w:sz w:val="21"/>
                      <w:szCs w:val="21"/>
                    </w:rPr>
                  </w:pPr>
                  <w:r>
                    <w:rPr>
                      <w:sz w:val="21"/>
                      <w:szCs w:val="21"/>
                    </w:rPr>
                    <w:t>65</w:t>
                  </w:r>
                </w:p>
              </w:tc>
              <w:tc>
                <w:tcPr>
                  <w:tcW w:w="850"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0.042</w:t>
                  </w:r>
                </w:p>
              </w:tc>
              <w:tc>
                <w:tcPr>
                  <w:tcW w:w="1150" w:type="dxa"/>
                  <w:vMerge w:val="continue"/>
                  <w:tcBorders>
                    <w:tl2br w:val="nil"/>
                    <w:tr2bl w:val="nil"/>
                  </w:tcBorders>
                  <w:vAlign w:val="center"/>
                </w:tcPr>
                <w:p>
                  <w:pPr>
                    <w:pStyle w:val="111"/>
                    <w:spacing w:line="240" w:lineRule="exact"/>
                    <w:ind w:firstLine="0" w:firstLineChars="0"/>
                    <w:jc w:val="center"/>
                    <w:rPr>
                      <w:sz w:val="21"/>
                      <w:szCs w:val="21"/>
                    </w:rPr>
                  </w:pPr>
                </w:p>
              </w:tc>
              <w:tc>
                <w:tcPr>
                  <w:tcW w:w="871" w:type="dxa"/>
                  <w:vMerge w:val="continue"/>
                  <w:tcBorders>
                    <w:tl2br w:val="nil"/>
                    <w:tr2bl w:val="nil"/>
                  </w:tcBorders>
                  <w:vAlign w:val="center"/>
                </w:tcPr>
                <w:p>
                  <w:pPr>
                    <w:pStyle w:val="111"/>
                    <w:spacing w:line="240" w:lineRule="exact"/>
                    <w:ind w:firstLine="0" w:firstLineChars="0"/>
                    <w:jc w:val="center"/>
                    <w:rPr>
                      <w:sz w:val="21"/>
                      <w:szCs w:val="21"/>
                    </w:rPr>
                  </w:pPr>
                </w:p>
              </w:tc>
              <w:tc>
                <w:tcPr>
                  <w:tcW w:w="732" w:type="dxa"/>
                  <w:tcBorders>
                    <w:tl2br w:val="nil"/>
                    <w:tr2bl w:val="nil"/>
                  </w:tcBorders>
                  <w:vAlign w:val="center"/>
                </w:tcPr>
                <w:p>
                  <w:pPr>
                    <w:pStyle w:val="111"/>
                    <w:spacing w:line="240" w:lineRule="exact"/>
                    <w:ind w:firstLine="0" w:firstLineChars="0"/>
                    <w:jc w:val="center"/>
                    <w:rPr>
                      <w:sz w:val="21"/>
                      <w:szCs w:val="21"/>
                    </w:rPr>
                  </w:pPr>
                  <w:r>
                    <w:rPr>
                      <w:sz w:val="21"/>
                      <w:szCs w:val="21"/>
                    </w:rPr>
                    <w:t>氨氮</w:t>
                  </w:r>
                </w:p>
              </w:tc>
              <w:tc>
                <w:tcPr>
                  <w:tcW w:w="902"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20</w:t>
                  </w:r>
                </w:p>
              </w:tc>
              <w:tc>
                <w:tcPr>
                  <w:tcW w:w="683" w:type="dxa"/>
                  <w:vMerge w:val="continue"/>
                  <w:tcBorders>
                    <w:tl2br w:val="nil"/>
                    <w:tr2bl w:val="nil"/>
                  </w:tcBorders>
                  <w:vAlign w:val="center"/>
                </w:tcPr>
                <w:p>
                  <w:pPr>
                    <w:pStyle w:val="111"/>
                    <w:spacing w:line="240" w:lineRule="exact"/>
                    <w:ind w:firstLine="0" w:firstLineChars="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692"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洗车废水</w:t>
                  </w:r>
                </w:p>
              </w:tc>
              <w:tc>
                <w:tcPr>
                  <w:tcW w:w="669"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72</w:t>
                  </w:r>
                </w:p>
              </w:tc>
              <w:tc>
                <w:tcPr>
                  <w:tcW w:w="775"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SS</w:t>
                  </w:r>
                </w:p>
              </w:tc>
              <w:tc>
                <w:tcPr>
                  <w:tcW w:w="925"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1000</w:t>
                  </w:r>
                </w:p>
              </w:tc>
              <w:tc>
                <w:tcPr>
                  <w:tcW w:w="850"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0.072</w:t>
                  </w:r>
                </w:p>
              </w:tc>
              <w:tc>
                <w:tcPr>
                  <w:tcW w:w="1150"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东方恒略洗车平台</w:t>
                  </w:r>
                </w:p>
              </w:tc>
              <w:tc>
                <w:tcPr>
                  <w:tcW w:w="871"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0</w:t>
                  </w:r>
                </w:p>
              </w:tc>
              <w:tc>
                <w:tcPr>
                  <w:tcW w:w="732"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SS</w:t>
                  </w:r>
                </w:p>
              </w:tc>
              <w:tc>
                <w:tcPr>
                  <w:tcW w:w="902"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200</w:t>
                  </w:r>
                </w:p>
              </w:tc>
              <w:tc>
                <w:tcPr>
                  <w:tcW w:w="683" w:type="dxa"/>
                  <w:tcBorders>
                    <w:tl2br w:val="nil"/>
                    <w:tr2bl w:val="nil"/>
                  </w:tcBorders>
                  <w:vAlign w:val="center"/>
                </w:tcPr>
                <w:p>
                  <w:pPr>
                    <w:pStyle w:val="111"/>
                    <w:spacing w:line="240" w:lineRule="exact"/>
                    <w:ind w:firstLine="0" w:firstLineChars="0"/>
                    <w:jc w:val="center"/>
                    <w:rPr>
                      <w:sz w:val="21"/>
                      <w:szCs w:val="21"/>
                    </w:rPr>
                  </w:pPr>
                  <w:r>
                    <w:rPr>
                      <w:rFonts w:hint="eastAsia"/>
                      <w:sz w:val="21"/>
                      <w:szCs w:val="21"/>
                    </w:rPr>
                    <w:t>循环</w:t>
                  </w:r>
                </w:p>
                <w:p>
                  <w:pPr>
                    <w:pStyle w:val="111"/>
                    <w:spacing w:line="240" w:lineRule="exact"/>
                    <w:ind w:firstLine="0" w:firstLineChars="0"/>
                    <w:jc w:val="center"/>
                    <w:rPr>
                      <w:sz w:val="21"/>
                      <w:szCs w:val="21"/>
                    </w:rPr>
                  </w:pPr>
                  <w:r>
                    <w:rPr>
                      <w:rFonts w:hint="eastAsia"/>
                      <w:sz w:val="21"/>
                      <w:szCs w:val="21"/>
                    </w:rPr>
                    <w:t>使用</w:t>
                  </w:r>
                </w:p>
              </w:tc>
            </w:tr>
          </w:tbl>
          <w:p>
            <w:pPr>
              <w:pStyle w:val="4"/>
              <w:rPr>
                <w:rFonts w:hint="eastAsia"/>
              </w:rPr>
            </w:pPr>
          </w:p>
          <w:p>
            <w:pPr>
              <w:pStyle w:val="4"/>
            </w:pPr>
            <w:r>
              <w:rPr>
                <w:rFonts w:hint="eastAsia"/>
              </w:rPr>
              <w:t>4.4声环境影响和治理措施</w:t>
            </w:r>
          </w:p>
          <w:p>
            <w:pPr>
              <w:pStyle w:val="5"/>
            </w:pPr>
            <w:r>
              <w:rPr>
                <w:rFonts w:hint="eastAsia"/>
              </w:rPr>
              <w:t>4.4.1主要声源</w:t>
            </w:r>
          </w:p>
          <w:p>
            <w:pPr>
              <w:ind w:firstLine="480"/>
            </w:pPr>
            <w:r>
              <w:rPr>
                <w:rFonts w:hint="eastAsia"/>
              </w:rPr>
              <w:t>本项目厂区噪声污染主要来自液压打包机、液压龙门剪切机、行吊和抓钢机等设备运行噪声，设备噪声声压级约为80-95dB（A），主要噪声源噪声级见表4-4。</w:t>
            </w:r>
          </w:p>
          <w:p>
            <w:pPr>
              <w:pStyle w:val="5"/>
            </w:pPr>
            <w:r>
              <w:rPr>
                <w:rFonts w:hint="eastAsia"/>
              </w:rPr>
              <w:t>4.4.2声环境保护目标</w:t>
            </w:r>
          </w:p>
          <w:p>
            <w:pPr>
              <w:ind w:firstLine="480"/>
            </w:pPr>
            <w:r>
              <w:rPr>
                <w:rFonts w:hint="eastAsia"/>
              </w:rPr>
              <w:t>本项目距离最近的声环境保护目标为西北20m处的新郭行村，声环境保护目标调查表见表4-5。</w:t>
            </w:r>
          </w:p>
          <w:p>
            <w:pPr>
              <w:pStyle w:val="5"/>
            </w:pPr>
            <w:r>
              <w:rPr>
                <w:rFonts w:hint="eastAsia"/>
              </w:rPr>
              <w:t>4.4.3声环境治理措施</w:t>
            </w:r>
          </w:p>
          <w:p>
            <w:pPr>
              <w:ind w:firstLine="480"/>
              <w:rPr>
                <w:rFonts w:hint="eastAsia" w:eastAsia="宋体"/>
                <w:lang w:eastAsia="zh-CN"/>
              </w:rPr>
            </w:pPr>
            <w:r>
              <w:rPr>
                <w:rFonts w:hint="eastAsia"/>
              </w:rPr>
              <w:t>生产设备布置远离声环境敏感目标-新郭行村；设备位于砖混结构的厂房内；设备选型上尽量采用低噪声设备；按规定操作机械设备，遵守作业规定，减少碰撞噪声。厂区西北角设噪声实时在线监测设备</w:t>
            </w:r>
            <w:r>
              <w:rPr>
                <w:rFonts w:hint="eastAsia"/>
                <w:lang w:eastAsia="zh-CN"/>
              </w:rPr>
              <w:t>。</w:t>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tc>
      </w:tr>
    </w:tbl>
    <w:p>
      <w:pPr>
        <w:ind w:firstLine="480"/>
        <w:sectPr>
          <w:pgSz w:w="11907" w:h="16840"/>
          <w:pgMar w:top="1701" w:right="1531" w:bottom="1701" w:left="1531" w:header="851" w:footer="851" w:gutter="0"/>
          <w:cols w:space="720" w:num="1"/>
          <w:docGrid w:linePitch="312" w:charSpace="0"/>
        </w:sectPr>
      </w:pPr>
    </w:p>
    <w:p>
      <w:pPr>
        <w:spacing w:before="120" w:beforeLines="50" w:line="240" w:lineRule="auto"/>
        <w:ind w:firstLine="0" w:firstLineChars="0"/>
        <w:jc w:val="center"/>
        <w:rPr>
          <w:b/>
          <w:bCs/>
          <w:sz w:val="21"/>
        </w:rPr>
      </w:pPr>
      <w:r>
        <w:rPr>
          <w:rFonts w:hint="eastAsia"/>
          <w:b/>
          <w:bCs/>
          <w:sz w:val="21"/>
        </w:rPr>
        <w:t>表4-4  工业企业噪声源强调查清单（室内声源）  单位：dB（A）</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0"/>
        <w:gridCol w:w="586"/>
        <w:gridCol w:w="827"/>
        <w:gridCol w:w="585"/>
        <w:gridCol w:w="840"/>
        <w:gridCol w:w="935"/>
        <w:gridCol w:w="657"/>
        <w:gridCol w:w="610"/>
        <w:gridCol w:w="585"/>
        <w:gridCol w:w="477"/>
        <w:gridCol w:w="573"/>
        <w:gridCol w:w="525"/>
        <w:gridCol w:w="549"/>
        <w:gridCol w:w="525"/>
        <w:gridCol w:w="524"/>
        <w:gridCol w:w="525"/>
        <w:gridCol w:w="524"/>
        <w:gridCol w:w="670"/>
        <w:gridCol w:w="501"/>
        <w:gridCol w:w="501"/>
        <w:gridCol w:w="427"/>
        <w:gridCol w:w="428"/>
        <w:gridCol w:w="513"/>
        <w:gridCol w:w="536"/>
        <w:gridCol w:w="501"/>
        <w:gridCol w:w="536"/>
        <w:gridCol w:w="7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exact"/>
          <w:jc w:val="center"/>
        </w:trPr>
        <w:tc>
          <w:tcPr>
            <w:tcW w:w="277" w:type="dxa"/>
            <w:vMerge w:val="restart"/>
            <w:tcBorders>
              <w:tl2br w:val="nil"/>
              <w:tr2bl w:val="nil"/>
            </w:tcBorders>
            <w:vAlign w:val="center"/>
          </w:tcPr>
          <w:p>
            <w:pPr>
              <w:spacing w:line="240" w:lineRule="auto"/>
              <w:ind w:firstLine="0" w:firstLineChars="0"/>
              <w:jc w:val="center"/>
              <w:rPr>
                <w:rFonts w:cs="Times New Roman"/>
                <w:sz w:val="15"/>
                <w:szCs w:val="15"/>
              </w:rPr>
            </w:pPr>
            <w:bookmarkStart w:id="8" w:name="PT_6"/>
            <w:r>
              <w:rPr>
                <w:rFonts w:cs="Times New Roman"/>
                <w:b/>
                <w:sz w:val="15"/>
                <w:szCs w:val="15"/>
              </w:rPr>
              <w:t>序号</w:t>
            </w:r>
          </w:p>
        </w:tc>
        <w:tc>
          <w:tcPr>
            <w:tcW w:w="586" w:type="dxa"/>
            <w:vMerge w:val="restart"/>
            <w:tcBorders>
              <w:tl2br w:val="nil"/>
              <w:tr2bl w:val="nil"/>
            </w:tcBorders>
            <w:vAlign w:val="center"/>
          </w:tcPr>
          <w:p>
            <w:pPr>
              <w:spacing w:line="240" w:lineRule="auto"/>
              <w:ind w:firstLine="0" w:firstLineChars="0"/>
              <w:jc w:val="center"/>
              <w:rPr>
                <w:rFonts w:cs="Times New Roman"/>
                <w:sz w:val="15"/>
                <w:szCs w:val="15"/>
              </w:rPr>
            </w:pPr>
            <w:r>
              <w:rPr>
                <w:rFonts w:cs="Times New Roman"/>
                <w:b/>
                <w:sz w:val="15"/>
                <w:szCs w:val="15"/>
              </w:rPr>
              <w:t>建筑物名称</w:t>
            </w:r>
          </w:p>
        </w:tc>
        <w:tc>
          <w:tcPr>
            <w:tcW w:w="829" w:type="dxa"/>
            <w:vMerge w:val="restart"/>
            <w:tcBorders>
              <w:tl2br w:val="nil"/>
              <w:tr2bl w:val="nil"/>
            </w:tcBorders>
            <w:vAlign w:val="center"/>
          </w:tcPr>
          <w:p>
            <w:pPr>
              <w:spacing w:line="240" w:lineRule="auto"/>
              <w:ind w:firstLine="0" w:firstLineChars="0"/>
              <w:jc w:val="center"/>
              <w:rPr>
                <w:rFonts w:cs="Times New Roman"/>
                <w:sz w:val="15"/>
                <w:szCs w:val="15"/>
              </w:rPr>
            </w:pPr>
            <w:r>
              <w:rPr>
                <w:rFonts w:cs="Times New Roman"/>
                <w:b/>
                <w:sz w:val="15"/>
                <w:szCs w:val="15"/>
              </w:rPr>
              <w:t>声源名称</w:t>
            </w:r>
          </w:p>
        </w:tc>
        <w:tc>
          <w:tcPr>
            <w:tcW w:w="585" w:type="dxa"/>
            <w:vMerge w:val="restart"/>
            <w:tcBorders>
              <w:tl2br w:val="nil"/>
              <w:tr2bl w:val="nil"/>
            </w:tcBorders>
            <w:vAlign w:val="center"/>
          </w:tcPr>
          <w:p>
            <w:pPr>
              <w:spacing w:line="240" w:lineRule="auto"/>
              <w:ind w:firstLine="0" w:firstLineChars="0"/>
              <w:jc w:val="center"/>
              <w:rPr>
                <w:rFonts w:cs="Times New Roman"/>
                <w:sz w:val="15"/>
                <w:szCs w:val="15"/>
              </w:rPr>
            </w:pPr>
            <w:r>
              <w:rPr>
                <w:rFonts w:cs="Times New Roman"/>
                <w:b/>
                <w:sz w:val="15"/>
                <w:szCs w:val="15"/>
              </w:rPr>
              <w:t>型号</w:t>
            </w:r>
          </w:p>
        </w:tc>
        <w:tc>
          <w:tcPr>
            <w:tcW w:w="842" w:type="dxa"/>
            <w:vMerge w:val="restart"/>
            <w:tcBorders>
              <w:tl2br w:val="nil"/>
              <w:tr2bl w:val="nil"/>
            </w:tcBorders>
            <w:vAlign w:val="center"/>
          </w:tcPr>
          <w:p>
            <w:pPr>
              <w:spacing w:line="240" w:lineRule="auto"/>
              <w:ind w:firstLine="0" w:firstLineChars="0"/>
              <w:jc w:val="center"/>
              <w:rPr>
                <w:rFonts w:cs="Times New Roman"/>
                <w:sz w:val="15"/>
                <w:szCs w:val="15"/>
              </w:rPr>
            </w:pPr>
          </w:p>
          <w:p>
            <w:pPr>
              <w:spacing w:line="240" w:lineRule="auto"/>
              <w:ind w:firstLine="0" w:firstLineChars="0"/>
              <w:jc w:val="center"/>
              <w:rPr>
                <w:sz w:val="15"/>
                <w:szCs w:val="15"/>
              </w:rPr>
            </w:pPr>
            <w:r>
              <w:rPr>
                <w:rFonts w:cs="Arial"/>
                <w:b/>
                <w:bCs/>
                <w:sz w:val="15"/>
                <w:szCs w:val="15"/>
              </w:rPr>
              <w:t>声功率级/dB(A)</w:t>
            </w:r>
          </w:p>
        </w:tc>
        <w:tc>
          <w:tcPr>
            <w:tcW w:w="939" w:type="dxa"/>
            <w:vMerge w:val="restart"/>
            <w:tcBorders>
              <w:tl2br w:val="nil"/>
              <w:tr2bl w:val="nil"/>
            </w:tcBorders>
            <w:vAlign w:val="center"/>
          </w:tcPr>
          <w:p>
            <w:pPr>
              <w:spacing w:line="240" w:lineRule="auto"/>
              <w:ind w:firstLine="0" w:firstLineChars="0"/>
              <w:jc w:val="center"/>
              <w:rPr>
                <w:rFonts w:cs="Times New Roman"/>
                <w:sz w:val="15"/>
                <w:szCs w:val="15"/>
              </w:rPr>
            </w:pPr>
            <w:r>
              <w:rPr>
                <w:rFonts w:cs="Times New Roman"/>
                <w:b/>
                <w:sz w:val="15"/>
                <w:szCs w:val="15"/>
              </w:rPr>
              <w:t>声源控制措施</w:t>
            </w:r>
          </w:p>
        </w:tc>
        <w:tc>
          <w:tcPr>
            <w:tcW w:w="1853" w:type="dxa"/>
            <w:gridSpan w:val="3"/>
            <w:tcBorders>
              <w:tl2br w:val="nil"/>
              <w:tr2bl w:val="nil"/>
            </w:tcBorders>
            <w:vAlign w:val="center"/>
          </w:tcPr>
          <w:p>
            <w:pPr>
              <w:spacing w:line="240" w:lineRule="auto"/>
              <w:ind w:firstLine="0" w:firstLineChars="0"/>
              <w:jc w:val="center"/>
              <w:rPr>
                <w:rFonts w:cs="Times New Roman"/>
                <w:sz w:val="15"/>
                <w:szCs w:val="15"/>
              </w:rPr>
            </w:pPr>
            <w:r>
              <w:rPr>
                <w:rFonts w:cs="Times New Roman"/>
                <w:b/>
                <w:sz w:val="15"/>
                <w:szCs w:val="15"/>
              </w:rPr>
              <w:t>空间相对位置/m</w:t>
            </w:r>
          </w:p>
        </w:tc>
        <w:tc>
          <w:tcPr>
            <w:tcW w:w="2122" w:type="dxa"/>
            <w:gridSpan w:val="4"/>
            <w:tcBorders>
              <w:tl2br w:val="nil"/>
              <w:tr2bl w:val="nil"/>
            </w:tcBorders>
            <w:vAlign w:val="center"/>
          </w:tcPr>
          <w:p>
            <w:pPr>
              <w:spacing w:line="240" w:lineRule="auto"/>
              <w:ind w:firstLine="0" w:firstLineChars="0"/>
              <w:jc w:val="center"/>
              <w:rPr>
                <w:rFonts w:cs="Times New Roman"/>
                <w:b/>
                <w:sz w:val="15"/>
                <w:szCs w:val="15"/>
              </w:rPr>
            </w:pPr>
            <w:r>
              <w:rPr>
                <w:rFonts w:cs="Times New Roman"/>
                <w:b/>
                <w:sz w:val="15"/>
                <w:szCs w:val="15"/>
              </w:rPr>
              <w:t>距室内边界距离/m</w:t>
            </w:r>
          </w:p>
        </w:tc>
        <w:tc>
          <w:tcPr>
            <w:tcW w:w="2098" w:type="dxa"/>
            <w:gridSpan w:val="4"/>
            <w:tcBorders>
              <w:tl2br w:val="nil"/>
              <w:tr2bl w:val="nil"/>
            </w:tcBorders>
            <w:vAlign w:val="center"/>
          </w:tcPr>
          <w:p>
            <w:pPr>
              <w:spacing w:line="240" w:lineRule="auto"/>
              <w:ind w:firstLine="0" w:firstLineChars="0"/>
              <w:jc w:val="center"/>
              <w:rPr>
                <w:rFonts w:cs="Times New Roman"/>
                <w:b/>
                <w:sz w:val="15"/>
                <w:szCs w:val="15"/>
              </w:rPr>
            </w:pPr>
            <w:r>
              <w:rPr>
                <w:rFonts w:cs="Times New Roman"/>
                <w:b/>
                <w:sz w:val="15"/>
                <w:szCs w:val="15"/>
              </w:rPr>
              <w:t>室内边界声级/dB(A)</w:t>
            </w:r>
          </w:p>
        </w:tc>
        <w:tc>
          <w:tcPr>
            <w:tcW w:w="671" w:type="dxa"/>
            <w:vMerge w:val="restart"/>
            <w:tcBorders>
              <w:tl2br w:val="nil"/>
              <w:tr2bl w:val="nil"/>
            </w:tcBorders>
            <w:vAlign w:val="center"/>
          </w:tcPr>
          <w:p>
            <w:pPr>
              <w:spacing w:line="240" w:lineRule="auto"/>
              <w:ind w:firstLine="0" w:firstLineChars="0"/>
              <w:jc w:val="center"/>
              <w:rPr>
                <w:rFonts w:cs="Times New Roman"/>
                <w:b/>
                <w:sz w:val="15"/>
                <w:szCs w:val="15"/>
              </w:rPr>
            </w:pPr>
            <w:r>
              <w:rPr>
                <w:rFonts w:cs="Times New Roman"/>
                <w:b/>
                <w:sz w:val="15"/>
                <w:szCs w:val="15"/>
              </w:rPr>
              <w:t>运行</w:t>
            </w:r>
          </w:p>
          <w:p>
            <w:pPr>
              <w:spacing w:line="240" w:lineRule="auto"/>
              <w:ind w:firstLine="0" w:firstLineChars="0"/>
              <w:jc w:val="center"/>
              <w:rPr>
                <w:rFonts w:cs="Times New Roman"/>
                <w:sz w:val="15"/>
                <w:szCs w:val="15"/>
              </w:rPr>
            </w:pPr>
            <w:r>
              <w:rPr>
                <w:rFonts w:cs="Times New Roman"/>
                <w:b/>
                <w:sz w:val="15"/>
                <w:szCs w:val="15"/>
              </w:rPr>
              <w:t>时段</w:t>
            </w:r>
          </w:p>
        </w:tc>
        <w:tc>
          <w:tcPr>
            <w:tcW w:w="1853" w:type="dxa"/>
            <w:gridSpan w:val="4"/>
            <w:tcBorders>
              <w:tl2br w:val="nil"/>
              <w:tr2bl w:val="nil"/>
            </w:tcBorders>
            <w:vAlign w:val="center"/>
          </w:tcPr>
          <w:p>
            <w:pPr>
              <w:spacing w:line="240" w:lineRule="auto"/>
              <w:ind w:firstLine="0" w:firstLineChars="0"/>
              <w:jc w:val="center"/>
              <w:rPr>
                <w:rFonts w:cs="Times New Roman"/>
                <w:b/>
                <w:sz w:val="15"/>
                <w:szCs w:val="15"/>
              </w:rPr>
            </w:pPr>
            <w:r>
              <w:rPr>
                <w:rFonts w:cs="Times New Roman"/>
                <w:b/>
                <w:sz w:val="15"/>
                <w:szCs w:val="15"/>
              </w:rPr>
              <w:t>建筑物插入损失 / dB(A)</w:t>
            </w:r>
          </w:p>
        </w:tc>
        <w:tc>
          <w:tcPr>
            <w:tcW w:w="2813" w:type="dxa"/>
            <w:gridSpan w:val="5"/>
            <w:tcBorders>
              <w:tl2br w:val="nil"/>
              <w:tr2bl w:val="nil"/>
            </w:tcBorders>
            <w:vAlign w:val="center"/>
          </w:tcPr>
          <w:p>
            <w:pPr>
              <w:spacing w:line="240" w:lineRule="auto"/>
              <w:ind w:firstLine="0" w:firstLineChars="0"/>
              <w:jc w:val="center"/>
              <w:rPr>
                <w:rFonts w:cs="Times New Roman"/>
                <w:b/>
                <w:sz w:val="15"/>
                <w:szCs w:val="15"/>
              </w:rPr>
            </w:pPr>
            <w:r>
              <w:rPr>
                <w:rFonts w:cs="Times New Roman"/>
                <w:b/>
                <w:sz w:val="15"/>
                <w:szCs w:val="15"/>
              </w:rPr>
              <w:t>建筑物外噪声声压级/dB(A)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277" w:type="dxa"/>
            <w:vMerge w:val="continue"/>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sz w:val="15"/>
                <w:szCs w:val="15"/>
              </w:rPr>
            </w:pPr>
          </w:p>
        </w:tc>
        <w:tc>
          <w:tcPr>
            <w:tcW w:w="586" w:type="dxa"/>
            <w:vMerge w:val="continue"/>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sz w:val="15"/>
                <w:szCs w:val="15"/>
              </w:rPr>
            </w:pPr>
          </w:p>
        </w:tc>
        <w:tc>
          <w:tcPr>
            <w:tcW w:w="829" w:type="dxa"/>
            <w:vMerge w:val="continue"/>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sz w:val="15"/>
                <w:szCs w:val="15"/>
              </w:rPr>
            </w:pPr>
          </w:p>
        </w:tc>
        <w:tc>
          <w:tcPr>
            <w:tcW w:w="585" w:type="dxa"/>
            <w:vMerge w:val="continue"/>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sz w:val="15"/>
                <w:szCs w:val="15"/>
              </w:rPr>
            </w:pPr>
          </w:p>
        </w:tc>
        <w:tc>
          <w:tcPr>
            <w:tcW w:w="842" w:type="dxa"/>
            <w:vMerge w:val="continue"/>
            <w:tcBorders>
              <w:bottom w:val="single" w:color="auto" w:sz="12" w:space="0"/>
              <w:tl2br w:val="nil"/>
              <w:tr2bl w:val="nil"/>
            </w:tcBorders>
            <w:shd w:val="clear" w:color="auto" w:fill="FFFFFF"/>
            <w:vAlign w:val="center"/>
          </w:tcPr>
          <w:p>
            <w:pPr>
              <w:spacing w:line="240" w:lineRule="auto"/>
              <w:ind w:firstLine="0" w:firstLineChars="0"/>
              <w:jc w:val="center"/>
              <w:rPr>
                <w:sz w:val="15"/>
                <w:szCs w:val="15"/>
              </w:rPr>
            </w:pPr>
          </w:p>
        </w:tc>
        <w:tc>
          <w:tcPr>
            <w:tcW w:w="939" w:type="dxa"/>
            <w:vMerge w:val="continue"/>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sz w:val="15"/>
                <w:szCs w:val="15"/>
              </w:rPr>
            </w:pPr>
          </w:p>
        </w:tc>
        <w:tc>
          <w:tcPr>
            <w:tcW w:w="658"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cs="Times New Roman"/>
                <w:b/>
                <w:bCs/>
                <w:sz w:val="15"/>
                <w:szCs w:val="15"/>
              </w:rPr>
              <w:t>X</w:t>
            </w:r>
          </w:p>
        </w:tc>
        <w:tc>
          <w:tcPr>
            <w:tcW w:w="610"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cs="Times New Roman"/>
                <w:b/>
                <w:bCs/>
                <w:sz w:val="15"/>
                <w:szCs w:val="15"/>
              </w:rPr>
              <w:t>Y</w:t>
            </w:r>
          </w:p>
        </w:tc>
        <w:tc>
          <w:tcPr>
            <w:tcW w:w="585"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cs="Times New Roman"/>
                <w:b/>
                <w:bCs/>
                <w:sz w:val="15"/>
                <w:szCs w:val="15"/>
              </w:rPr>
              <w:t>Z</w:t>
            </w:r>
          </w:p>
        </w:tc>
        <w:tc>
          <w:tcPr>
            <w:tcW w:w="476"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东</w:t>
            </w:r>
          </w:p>
        </w:tc>
        <w:tc>
          <w:tcPr>
            <w:tcW w:w="573"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南</w:t>
            </w:r>
          </w:p>
        </w:tc>
        <w:tc>
          <w:tcPr>
            <w:tcW w:w="525"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西</w:t>
            </w:r>
          </w:p>
        </w:tc>
        <w:tc>
          <w:tcPr>
            <w:tcW w:w="548"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北</w:t>
            </w:r>
          </w:p>
        </w:tc>
        <w:tc>
          <w:tcPr>
            <w:tcW w:w="525"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东</w:t>
            </w:r>
          </w:p>
        </w:tc>
        <w:tc>
          <w:tcPr>
            <w:tcW w:w="524"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南</w:t>
            </w:r>
          </w:p>
        </w:tc>
        <w:tc>
          <w:tcPr>
            <w:tcW w:w="525"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西</w:t>
            </w:r>
          </w:p>
        </w:tc>
        <w:tc>
          <w:tcPr>
            <w:tcW w:w="524"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北</w:t>
            </w:r>
          </w:p>
        </w:tc>
        <w:tc>
          <w:tcPr>
            <w:tcW w:w="671" w:type="dxa"/>
            <w:vMerge w:val="continue"/>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p>
        </w:tc>
        <w:tc>
          <w:tcPr>
            <w:tcW w:w="500"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东</w:t>
            </w:r>
          </w:p>
        </w:tc>
        <w:tc>
          <w:tcPr>
            <w:tcW w:w="500"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南</w:t>
            </w:r>
          </w:p>
        </w:tc>
        <w:tc>
          <w:tcPr>
            <w:tcW w:w="426"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西</w:t>
            </w:r>
          </w:p>
        </w:tc>
        <w:tc>
          <w:tcPr>
            <w:tcW w:w="427"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北</w:t>
            </w:r>
          </w:p>
        </w:tc>
        <w:tc>
          <w:tcPr>
            <w:tcW w:w="513"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东</w:t>
            </w:r>
          </w:p>
        </w:tc>
        <w:tc>
          <w:tcPr>
            <w:tcW w:w="536"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南</w:t>
            </w:r>
          </w:p>
        </w:tc>
        <w:tc>
          <w:tcPr>
            <w:tcW w:w="500"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西</w:t>
            </w:r>
          </w:p>
        </w:tc>
        <w:tc>
          <w:tcPr>
            <w:tcW w:w="536"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hint="eastAsia" w:cs="Times New Roman"/>
                <w:b/>
                <w:bCs/>
                <w:sz w:val="15"/>
                <w:szCs w:val="15"/>
              </w:rPr>
              <w:t>北</w:t>
            </w:r>
          </w:p>
        </w:tc>
        <w:tc>
          <w:tcPr>
            <w:tcW w:w="728" w:type="dxa"/>
            <w:tcBorders>
              <w:bottom w:val="single" w:color="auto" w:sz="12" w:space="0"/>
              <w:tl2br w:val="nil"/>
              <w:tr2bl w:val="nil"/>
            </w:tcBorders>
            <w:shd w:val="clear" w:color="auto" w:fill="FFFFFF"/>
            <w:vAlign w:val="center"/>
          </w:tcPr>
          <w:p>
            <w:pPr>
              <w:spacing w:line="240" w:lineRule="auto"/>
              <w:ind w:firstLine="0" w:firstLineChars="0"/>
              <w:jc w:val="center"/>
              <w:rPr>
                <w:rFonts w:cs="Times New Roman"/>
                <w:b/>
                <w:bCs/>
                <w:sz w:val="15"/>
                <w:szCs w:val="15"/>
              </w:rPr>
            </w:pPr>
            <w:r>
              <w:rPr>
                <w:rFonts w:cs="Times New Roman"/>
                <w:b/>
                <w:bCs/>
                <w:sz w:val="15"/>
                <w:szCs w:val="15"/>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277"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1</w:t>
            </w:r>
          </w:p>
        </w:tc>
        <w:tc>
          <w:tcPr>
            <w:tcW w:w="586"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hint="eastAsia" w:cs="Arial"/>
                <w:sz w:val="15"/>
                <w:szCs w:val="15"/>
              </w:rPr>
              <w:t>车间</w:t>
            </w:r>
          </w:p>
        </w:tc>
        <w:tc>
          <w:tcPr>
            <w:tcW w:w="829"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抓钢机</w:t>
            </w:r>
            <w:r>
              <w:rPr>
                <w:rFonts w:hint="eastAsia" w:cs="Arial"/>
                <w:sz w:val="15"/>
                <w:szCs w:val="15"/>
              </w:rPr>
              <w:t>,</w:t>
            </w:r>
            <w:r>
              <w:rPr>
                <w:rFonts w:cs="Arial"/>
                <w:sz w:val="15"/>
                <w:szCs w:val="15"/>
              </w:rPr>
              <w:t>4台（按点声源组预测）</w:t>
            </w:r>
          </w:p>
        </w:tc>
        <w:tc>
          <w:tcPr>
            <w:tcW w:w="585"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hint="eastAsia"/>
                <w:sz w:val="15"/>
                <w:szCs w:val="15"/>
              </w:rPr>
              <w:t>/</w:t>
            </w:r>
          </w:p>
        </w:tc>
        <w:tc>
          <w:tcPr>
            <w:tcW w:w="842"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85（等效后：91.02)</w:t>
            </w:r>
          </w:p>
        </w:tc>
        <w:tc>
          <w:tcPr>
            <w:tcW w:w="939"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hint="eastAsia"/>
                <w:sz w:val="15"/>
                <w:szCs w:val="15"/>
              </w:rPr>
              <w:t>厂房隔声</w:t>
            </w:r>
          </w:p>
        </w:tc>
        <w:tc>
          <w:tcPr>
            <w:tcW w:w="658"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-202.1</w:t>
            </w:r>
          </w:p>
        </w:tc>
        <w:tc>
          <w:tcPr>
            <w:tcW w:w="610"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407.7</w:t>
            </w:r>
          </w:p>
        </w:tc>
        <w:tc>
          <w:tcPr>
            <w:tcW w:w="585"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522.9</w:t>
            </w:r>
          </w:p>
        </w:tc>
        <w:tc>
          <w:tcPr>
            <w:tcW w:w="476"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73.6</w:t>
            </w:r>
          </w:p>
        </w:tc>
        <w:tc>
          <w:tcPr>
            <w:tcW w:w="573"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54.6</w:t>
            </w:r>
          </w:p>
        </w:tc>
        <w:tc>
          <w:tcPr>
            <w:tcW w:w="525"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12.2</w:t>
            </w:r>
          </w:p>
        </w:tc>
        <w:tc>
          <w:tcPr>
            <w:tcW w:w="548"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6.7</w:t>
            </w:r>
          </w:p>
        </w:tc>
        <w:tc>
          <w:tcPr>
            <w:tcW w:w="525"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73.2</w:t>
            </w:r>
          </w:p>
        </w:tc>
        <w:tc>
          <w:tcPr>
            <w:tcW w:w="524"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73.2</w:t>
            </w:r>
          </w:p>
        </w:tc>
        <w:tc>
          <w:tcPr>
            <w:tcW w:w="525"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73.3</w:t>
            </w:r>
          </w:p>
        </w:tc>
        <w:tc>
          <w:tcPr>
            <w:tcW w:w="524"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73.6</w:t>
            </w:r>
          </w:p>
        </w:tc>
        <w:tc>
          <w:tcPr>
            <w:tcW w:w="671" w:type="dxa"/>
            <w:vMerge w:val="restart"/>
            <w:tcBorders>
              <w:top w:val="single" w:color="auto" w:sz="12" w:space="0"/>
            </w:tcBorders>
            <w:shd w:val="clear" w:color="auto" w:fill="FFFFFF"/>
            <w:vAlign w:val="center"/>
          </w:tcPr>
          <w:p>
            <w:pPr>
              <w:spacing w:line="240" w:lineRule="auto"/>
              <w:ind w:firstLine="0" w:firstLineChars="0"/>
              <w:jc w:val="center"/>
              <w:rPr>
                <w:sz w:val="15"/>
                <w:szCs w:val="15"/>
              </w:rPr>
            </w:pPr>
            <w:r>
              <w:rPr>
                <w:rFonts w:cs="Times New Roman"/>
                <w:sz w:val="15"/>
                <w:szCs w:val="15"/>
              </w:rPr>
              <w:t>9：00-17：00</w:t>
            </w:r>
          </w:p>
        </w:tc>
        <w:tc>
          <w:tcPr>
            <w:tcW w:w="500"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500"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426"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427"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513"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42.2</w:t>
            </w:r>
          </w:p>
        </w:tc>
        <w:tc>
          <w:tcPr>
            <w:tcW w:w="536"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42.2</w:t>
            </w:r>
          </w:p>
        </w:tc>
        <w:tc>
          <w:tcPr>
            <w:tcW w:w="500"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42.3</w:t>
            </w:r>
          </w:p>
        </w:tc>
        <w:tc>
          <w:tcPr>
            <w:tcW w:w="536"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42.6</w:t>
            </w:r>
          </w:p>
        </w:tc>
        <w:tc>
          <w:tcPr>
            <w:tcW w:w="728" w:type="dxa"/>
            <w:tcBorders>
              <w:top w:val="single" w:color="auto" w:sz="12" w:space="0"/>
            </w:tcBorders>
            <w:shd w:val="clear" w:color="auto" w:fill="FFFFFF"/>
            <w:vAlign w:val="center"/>
          </w:tcPr>
          <w:p>
            <w:pPr>
              <w:spacing w:line="240" w:lineRule="auto"/>
              <w:ind w:firstLine="0" w:firstLineChars="0"/>
              <w:jc w:val="center"/>
              <w:rPr>
                <w:sz w:val="15"/>
                <w:szCs w:val="15"/>
              </w:rPr>
            </w:pPr>
            <w:r>
              <w:rPr>
                <w:rFonts w:cs="Arial"/>
                <w:sz w:val="15"/>
                <w:szCs w:val="15"/>
              </w:rPr>
              <w:t>1</w:t>
            </w:r>
            <w:r>
              <w:rPr>
                <w:rFonts w:hint="eastAsia" w:cs="Arial"/>
                <w:sz w:val="15"/>
                <w:szCs w:val="15"/>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277"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cs="Arial"/>
                <w:sz w:val="15"/>
                <w:szCs w:val="15"/>
              </w:rPr>
              <w:t>2</w:t>
            </w:r>
          </w:p>
        </w:tc>
        <w:tc>
          <w:tcPr>
            <w:tcW w:w="586"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cs="Arial"/>
                <w:sz w:val="15"/>
                <w:szCs w:val="15"/>
              </w:rPr>
              <w:t>车间</w:t>
            </w:r>
          </w:p>
        </w:tc>
        <w:tc>
          <w:tcPr>
            <w:tcW w:w="829"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剪切机</w:t>
            </w:r>
          </w:p>
        </w:tc>
        <w:tc>
          <w:tcPr>
            <w:tcW w:w="585"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bCs/>
                <w:sz w:val="15"/>
                <w:szCs w:val="15"/>
              </w:rPr>
              <w:t>Q91Y-1000</w:t>
            </w:r>
          </w:p>
        </w:tc>
        <w:tc>
          <w:tcPr>
            <w:tcW w:w="842"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90</w:t>
            </w:r>
          </w:p>
        </w:tc>
        <w:tc>
          <w:tcPr>
            <w:tcW w:w="939"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sz w:val="15"/>
                <w:szCs w:val="15"/>
              </w:rPr>
              <w:t>厂房隔声、</w:t>
            </w:r>
          </w:p>
          <w:p>
            <w:pPr>
              <w:spacing w:line="240" w:lineRule="auto"/>
              <w:ind w:firstLine="0" w:firstLineChars="0"/>
              <w:jc w:val="center"/>
              <w:rPr>
                <w:sz w:val="15"/>
                <w:szCs w:val="15"/>
              </w:rPr>
            </w:pPr>
            <w:r>
              <w:rPr>
                <w:rFonts w:hint="eastAsia"/>
                <w:sz w:val="15"/>
                <w:szCs w:val="15"/>
              </w:rPr>
              <w:t>基础减震</w:t>
            </w:r>
          </w:p>
        </w:tc>
        <w:tc>
          <w:tcPr>
            <w:tcW w:w="65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-153.5</w:t>
            </w:r>
          </w:p>
        </w:tc>
        <w:tc>
          <w:tcPr>
            <w:tcW w:w="61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353</w:t>
            </w:r>
          </w:p>
        </w:tc>
        <w:tc>
          <w:tcPr>
            <w:tcW w:w="58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524.1</w:t>
            </w:r>
          </w:p>
        </w:tc>
        <w:tc>
          <w:tcPr>
            <w:tcW w:w="47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8.1</w:t>
            </w:r>
          </w:p>
        </w:tc>
        <w:tc>
          <w:tcPr>
            <w:tcW w:w="573"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22.0</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79.1</w:t>
            </w:r>
          </w:p>
        </w:tc>
        <w:tc>
          <w:tcPr>
            <w:tcW w:w="54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51.7</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72.4</w:t>
            </w:r>
          </w:p>
        </w:tc>
        <w:tc>
          <w:tcPr>
            <w:tcW w:w="524"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72.2</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72.1</w:t>
            </w:r>
          </w:p>
        </w:tc>
        <w:tc>
          <w:tcPr>
            <w:tcW w:w="524"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72.1</w:t>
            </w:r>
          </w:p>
        </w:tc>
        <w:tc>
          <w:tcPr>
            <w:tcW w:w="671" w:type="dxa"/>
            <w:vMerge w:val="continue"/>
            <w:tcBorders>
              <w:tl2br w:val="nil"/>
              <w:tr2bl w:val="nil"/>
            </w:tcBorders>
            <w:shd w:val="clear" w:color="auto" w:fill="FFFFFF"/>
            <w:vAlign w:val="center"/>
          </w:tcPr>
          <w:p>
            <w:pPr>
              <w:spacing w:line="240" w:lineRule="auto"/>
              <w:ind w:firstLine="0" w:firstLineChars="0"/>
              <w:jc w:val="center"/>
              <w:rPr>
                <w:sz w:val="15"/>
                <w:szCs w:val="15"/>
              </w:rPr>
            </w:pP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42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427"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513"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41.4</w:t>
            </w:r>
          </w:p>
        </w:tc>
        <w:tc>
          <w:tcPr>
            <w:tcW w:w="53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41.2</w:t>
            </w: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41.1</w:t>
            </w:r>
          </w:p>
        </w:tc>
        <w:tc>
          <w:tcPr>
            <w:tcW w:w="53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41.1</w:t>
            </w:r>
          </w:p>
        </w:tc>
        <w:tc>
          <w:tcPr>
            <w:tcW w:w="72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1</w:t>
            </w:r>
            <w:r>
              <w:rPr>
                <w:rFonts w:hint="eastAsia" w:cs="Arial"/>
                <w:sz w:val="15"/>
                <w:szCs w:val="15"/>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277"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cs="Arial"/>
                <w:sz w:val="15"/>
                <w:szCs w:val="15"/>
              </w:rPr>
              <w:t>3</w:t>
            </w:r>
          </w:p>
        </w:tc>
        <w:tc>
          <w:tcPr>
            <w:tcW w:w="586"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cs="Arial"/>
                <w:sz w:val="15"/>
                <w:szCs w:val="15"/>
              </w:rPr>
              <w:t>车间</w:t>
            </w:r>
          </w:p>
        </w:tc>
        <w:tc>
          <w:tcPr>
            <w:tcW w:w="829"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打包机</w:t>
            </w:r>
          </w:p>
        </w:tc>
        <w:tc>
          <w:tcPr>
            <w:tcW w:w="585"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bCs/>
                <w:sz w:val="15"/>
                <w:szCs w:val="15"/>
              </w:rPr>
              <w:t>Y81F/T-2500C</w:t>
            </w:r>
          </w:p>
        </w:tc>
        <w:tc>
          <w:tcPr>
            <w:tcW w:w="842"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95</w:t>
            </w:r>
          </w:p>
        </w:tc>
        <w:tc>
          <w:tcPr>
            <w:tcW w:w="939"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sz w:val="15"/>
                <w:szCs w:val="15"/>
              </w:rPr>
              <w:t>厂房隔声、</w:t>
            </w:r>
          </w:p>
          <w:p>
            <w:pPr>
              <w:spacing w:line="240" w:lineRule="auto"/>
              <w:ind w:firstLine="0" w:firstLineChars="0"/>
              <w:jc w:val="center"/>
              <w:rPr>
                <w:sz w:val="15"/>
                <w:szCs w:val="15"/>
              </w:rPr>
            </w:pPr>
            <w:r>
              <w:rPr>
                <w:rFonts w:hint="eastAsia"/>
                <w:sz w:val="15"/>
                <w:szCs w:val="15"/>
              </w:rPr>
              <w:t>基础减震</w:t>
            </w:r>
          </w:p>
        </w:tc>
        <w:tc>
          <w:tcPr>
            <w:tcW w:w="65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-141.4</w:t>
            </w:r>
          </w:p>
        </w:tc>
        <w:tc>
          <w:tcPr>
            <w:tcW w:w="61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382.2</w:t>
            </w:r>
          </w:p>
        </w:tc>
        <w:tc>
          <w:tcPr>
            <w:tcW w:w="58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523.6</w:t>
            </w:r>
          </w:p>
        </w:tc>
        <w:tc>
          <w:tcPr>
            <w:tcW w:w="47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7.8</w:t>
            </w:r>
          </w:p>
        </w:tc>
        <w:tc>
          <w:tcPr>
            <w:tcW w:w="573"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53.6</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78.0</w:t>
            </w:r>
          </w:p>
        </w:tc>
        <w:tc>
          <w:tcPr>
            <w:tcW w:w="54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20.3</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77.5</w:t>
            </w:r>
          </w:p>
        </w:tc>
        <w:tc>
          <w:tcPr>
            <w:tcW w:w="524"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77.1</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77.1</w:t>
            </w:r>
          </w:p>
        </w:tc>
        <w:tc>
          <w:tcPr>
            <w:tcW w:w="524"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77.2</w:t>
            </w:r>
          </w:p>
        </w:tc>
        <w:tc>
          <w:tcPr>
            <w:tcW w:w="671" w:type="dxa"/>
            <w:vMerge w:val="continue"/>
            <w:tcBorders>
              <w:tl2br w:val="nil"/>
              <w:tr2bl w:val="nil"/>
            </w:tcBorders>
            <w:shd w:val="clear" w:color="auto" w:fill="FFFFFF"/>
            <w:vAlign w:val="center"/>
          </w:tcPr>
          <w:p>
            <w:pPr>
              <w:spacing w:line="240" w:lineRule="auto"/>
              <w:ind w:firstLine="0" w:firstLineChars="0"/>
              <w:jc w:val="center"/>
              <w:rPr>
                <w:sz w:val="15"/>
                <w:szCs w:val="15"/>
              </w:rPr>
            </w:pP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42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427"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513"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46.5</w:t>
            </w:r>
          </w:p>
        </w:tc>
        <w:tc>
          <w:tcPr>
            <w:tcW w:w="53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46.1</w:t>
            </w: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46.1</w:t>
            </w:r>
          </w:p>
        </w:tc>
        <w:tc>
          <w:tcPr>
            <w:tcW w:w="53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46.2</w:t>
            </w:r>
          </w:p>
        </w:tc>
        <w:tc>
          <w:tcPr>
            <w:tcW w:w="72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1</w:t>
            </w:r>
            <w:r>
              <w:rPr>
                <w:rFonts w:hint="eastAsia" w:cs="Arial"/>
                <w:sz w:val="15"/>
                <w:szCs w:val="15"/>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277"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w:t>
            </w:r>
          </w:p>
        </w:tc>
        <w:tc>
          <w:tcPr>
            <w:tcW w:w="586"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cs="Arial"/>
                <w:sz w:val="15"/>
                <w:szCs w:val="15"/>
              </w:rPr>
              <w:t>车间</w:t>
            </w:r>
          </w:p>
        </w:tc>
        <w:tc>
          <w:tcPr>
            <w:tcW w:w="829"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行吊</w:t>
            </w:r>
            <w:r>
              <w:rPr>
                <w:rFonts w:hint="eastAsia" w:cs="Arial"/>
                <w:sz w:val="15"/>
                <w:szCs w:val="15"/>
              </w:rPr>
              <w:t>,</w:t>
            </w:r>
            <w:r>
              <w:rPr>
                <w:rFonts w:cs="Arial"/>
                <w:sz w:val="15"/>
                <w:szCs w:val="15"/>
              </w:rPr>
              <w:t>6台（按点声源组预测）</w:t>
            </w:r>
          </w:p>
        </w:tc>
        <w:tc>
          <w:tcPr>
            <w:tcW w:w="585"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sz w:val="15"/>
                <w:szCs w:val="15"/>
              </w:rPr>
              <w:t>/</w:t>
            </w:r>
          </w:p>
        </w:tc>
        <w:tc>
          <w:tcPr>
            <w:tcW w:w="842"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90（等效后：97.78)</w:t>
            </w:r>
          </w:p>
        </w:tc>
        <w:tc>
          <w:tcPr>
            <w:tcW w:w="939" w:type="dxa"/>
            <w:tcBorders>
              <w:tl2br w:val="nil"/>
              <w:tr2bl w:val="nil"/>
            </w:tcBorders>
            <w:shd w:val="clear" w:color="auto" w:fill="FFFFFF"/>
            <w:vAlign w:val="center"/>
          </w:tcPr>
          <w:p>
            <w:pPr>
              <w:spacing w:line="240" w:lineRule="auto"/>
              <w:ind w:firstLine="0" w:firstLineChars="0"/>
              <w:jc w:val="center"/>
              <w:rPr>
                <w:sz w:val="15"/>
                <w:szCs w:val="15"/>
              </w:rPr>
            </w:pPr>
            <w:r>
              <w:rPr>
                <w:rFonts w:hint="eastAsia"/>
                <w:sz w:val="15"/>
                <w:szCs w:val="15"/>
              </w:rPr>
              <w:t>厂房隔声</w:t>
            </w:r>
          </w:p>
        </w:tc>
        <w:tc>
          <w:tcPr>
            <w:tcW w:w="65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-171</w:t>
            </w:r>
          </w:p>
        </w:tc>
        <w:tc>
          <w:tcPr>
            <w:tcW w:w="61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394.2</w:t>
            </w:r>
          </w:p>
        </w:tc>
        <w:tc>
          <w:tcPr>
            <w:tcW w:w="58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523.4</w:t>
            </w:r>
          </w:p>
        </w:tc>
        <w:tc>
          <w:tcPr>
            <w:tcW w:w="47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39.7</w:t>
            </w:r>
          </w:p>
        </w:tc>
        <w:tc>
          <w:tcPr>
            <w:tcW w:w="573"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53.7</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46.1</w:t>
            </w:r>
          </w:p>
        </w:tc>
        <w:tc>
          <w:tcPr>
            <w:tcW w:w="54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16.0</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79.9</w:t>
            </w:r>
          </w:p>
        </w:tc>
        <w:tc>
          <w:tcPr>
            <w:tcW w:w="524"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79.9</w:t>
            </w:r>
          </w:p>
        </w:tc>
        <w:tc>
          <w:tcPr>
            <w:tcW w:w="525"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79.9</w:t>
            </w:r>
          </w:p>
        </w:tc>
        <w:tc>
          <w:tcPr>
            <w:tcW w:w="524"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80.0</w:t>
            </w:r>
          </w:p>
        </w:tc>
        <w:tc>
          <w:tcPr>
            <w:tcW w:w="671" w:type="dxa"/>
            <w:vMerge w:val="continue"/>
            <w:tcBorders>
              <w:tl2br w:val="nil"/>
              <w:tr2bl w:val="nil"/>
            </w:tcBorders>
            <w:shd w:val="clear" w:color="auto" w:fill="FFFFFF"/>
            <w:vAlign w:val="center"/>
          </w:tcPr>
          <w:p>
            <w:pPr>
              <w:spacing w:line="240" w:lineRule="auto"/>
              <w:ind w:firstLine="0" w:firstLineChars="0"/>
              <w:jc w:val="center"/>
              <w:rPr>
                <w:sz w:val="15"/>
                <w:szCs w:val="15"/>
              </w:rPr>
            </w:pP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42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427"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31.0</w:t>
            </w:r>
          </w:p>
        </w:tc>
        <w:tc>
          <w:tcPr>
            <w:tcW w:w="513"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48.9</w:t>
            </w:r>
          </w:p>
        </w:tc>
        <w:tc>
          <w:tcPr>
            <w:tcW w:w="53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48.9</w:t>
            </w:r>
          </w:p>
        </w:tc>
        <w:tc>
          <w:tcPr>
            <w:tcW w:w="500"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48.9</w:t>
            </w:r>
          </w:p>
        </w:tc>
        <w:tc>
          <w:tcPr>
            <w:tcW w:w="536"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49.0</w:t>
            </w:r>
          </w:p>
        </w:tc>
        <w:tc>
          <w:tcPr>
            <w:tcW w:w="728" w:type="dxa"/>
            <w:tcBorders>
              <w:tl2br w:val="nil"/>
              <w:tr2bl w:val="nil"/>
            </w:tcBorders>
            <w:shd w:val="clear" w:color="auto" w:fill="FFFFFF"/>
            <w:vAlign w:val="center"/>
          </w:tcPr>
          <w:p>
            <w:pPr>
              <w:spacing w:line="240" w:lineRule="auto"/>
              <w:ind w:firstLine="0" w:firstLineChars="0"/>
              <w:jc w:val="center"/>
              <w:rPr>
                <w:sz w:val="15"/>
                <w:szCs w:val="15"/>
              </w:rPr>
            </w:pPr>
            <w:r>
              <w:rPr>
                <w:rFonts w:cs="Arial"/>
                <w:sz w:val="15"/>
                <w:szCs w:val="15"/>
              </w:rPr>
              <w:t>1</w:t>
            </w:r>
            <w:r>
              <w:rPr>
                <w:rFonts w:hint="eastAsia" w:cs="Arial"/>
                <w:sz w:val="15"/>
                <w:szCs w:val="15"/>
              </w:rPr>
              <w:t>m</w:t>
            </w:r>
          </w:p>
        </w:tc>
      </w:tr>
      <w:bookmarkEnd w:id="8"/>
    </w:tbl>
    <w:p>
      <w:pPr>
        <w:spacing w:before="120" w:beforeLines="50" w:line="240" w:lineRule="auto"/>
        <w:ind w:firstLine="0" w:firstLineChars="0"/>
        <w:jc w:val="center"/>
        <w:rPr>
          <w:b/>
          <w:bCs/>
          <w:sz w:val="21"/>
        </w:rPr>
      </w:pPr>
      <w:r>
        <w:rPr>
          <w:rFonts w:hint="eastAsia"/>
          <w:b/>
          <w:bCs/>
          <w:sz w:val="21"/>
        </w:rPr>
        <w:t>表4-5  工业企业声环境保护目标调查表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1865"/>
        <w:gridCol w:w="1251"/>
        <w:gridCol w:w="1404"/>
        <w:gridCol w:w="1400"/>
        <w:gridCol w:w="1402"/>
        <w:gridCol w:w="806"/>
        <w:gridCol w:w="1532"/>
        <w:gridCol w:w="4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1" w:type="dxa"/>
            <w:vMerge w:val="restart"/>
            <w:tcBorders>
              <w:top w:val="single" w:color="auto" w:sz="12" w:space="0"/>
              <w:left w:val="nil"/>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序号</w:t>
            </w:r>
          </w:p>
        </w:tc>
        <w:tc>
          <w:tcPr>
            <w:tcW w:w="1687" w:type="dxa"/>
            <w:vMerge w:val="restart"/>
            <w:tcBorders>
              <w:top w:val="single" w:color="auto" w:sz="12" w:space="0"/>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声环境保护目标名称</w:t>
            </w:r>
          </w:p>
        </w:tc>
        <w:tc>
          <w:tcPr>
            <w:tcW w:w="3669" w:type="dxa"/>
            <w:gridSpan w:val="3"/>
            <w:tcBorders>
              <w:top w:val="single" w:color="auto" w:sz="12" w:space="0"/>
            </w:tcBorders>
            <w:shd w:val="clear" w:color="auto" w:fill="auto"/>
            <w:vAlign w:val="center"/>
          </w:tcPr>
          <w:p>
            <w:pPr>
              <w:spacing w:line="240" w:lineRule="auto"/>
              <w:ind w:firstLine="0" w:firstLineChars="0"/>
              <w:jc w:val="center"/>
              <w:rPr>
                <w:rFonts w:cs="Times New Roman"/>
                <w:b/>
                <w:bCs w:val="0"/>
                <w:sz w:val="21"/>
                <w:szCs w:val="21"/>
              </w:rPr>
            </w:pPr>
            <w:r>
              <w:rPr>
                <w:rFonts w:cs="Times New Roman"/>
                <w:b/>
                <w:bCs w:val="0"/>
                <w:sz w:val="21"/>
                <w:szCs w:val="21"/>
              </w:rPr>
              <w:t>空间相对位置/m</w:t>
            </w:r>
          </w:p>
        </w:tc>
        <w:tc>
          <w:tcPr>
            <w:tcW w:w="1268" w:type="dxa"/>
            <w:vMerge w:val="restart"/>
            <w:tcBorders>
              <w:top w:val="single" w:color="auto" w:sz="12" w:space="0"/>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距厂界最近距离/m</w:t>
            </w:r>
          </w:p>
        </w:tc>
        <w:tc>
          <w:tcPr>
            <w:tcW w:w="729" w:type="dxa"/>
            <w:vMerge w:val="restart"/>
            <w:tcBorders>
              <w:top w:val="single" w:color="auto" w:sz="12" w:space="0"/>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方位</w:t>
            </w:r>
          </w:p>
        </w:tc>
        <w:tc>
          <w:tcPr>
            <w:tcW w:w="1386" w:type="dxa"/>
            <w:vMerge w:val="restart"/>
            <w:tcBorders>
              <w:top w:val="single" w:color="auto" w:sz="12" w:space="0"/>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执行标准/功能区类别</w:t>
            </w:r>
          </w:p>
        </w:tc>
        <w:tc>
          <w:tcPr>
            <w:tcW w:w="4444" w:type="dxa"/>
            <w:vMerge w:val="restart"/>
            <w:tcBorders>
              <w:top w:val="single" w:color="auto" w:sz="12" w:space="0"/>
              <w:right w:val="nil"/>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声环境保护目标情况说明（介绍声环境保护目标建筑结构、朝向、楼层、周围环境情况）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811" w:type="dxa"/>
            <w:vMerge w:val="continue"/>
            <w:tcBorders>
              <w:left w:val="nil"/>
              <w:bottom w:val="single" w:color="auto" w:sz="12" w:space="0"/>
            </w:tcBorders>
            <w:shd w:val="clear" w:color="auto" w:fill="auto"/>
            <w:vAlign w:val="center"/>
          </w:tcPr>
          <w:p>
            <w:pPr>
              <w:spacing w:line="240" w:lineRule="auto"/>
              <w:ind w:firstLine="0" w:firstLineChars="0"/>
              <w:jc w:val="center"/>
              <w:rPr>
                <w:rFonts w:cs="Times New Roman"/>
                <w:sz w:val="21"/>
                <w:szCs w:val="21"/>
              </w:rPr>
            </w:pPr>
          </w:p>
        </w:tc>
        <w:tc>
          <w:tcPr>
            <w:tcW w:w="1687" w:type="dxa"/>
            <w:vMerge w:val="continue"/>
            <w:tcBorders>
              <w:bottom w:val="single" w:color="auto" w:sz="12" w:space="0"/>
            </w:tcBorders>
            <w:shd w:val="clear" w:color="auto" w:fill="auto"/>
            <w:vAlign w:val="center"/>
          </w:tcPr>
          <w:p>
            <w:pPr>
              <w:spacing w:line="240" w:lineRule="auto"/>
              <w:ind w:firstLine="0" w:firstLineChars="0"/>
              <w:jc w:val="center"/>
              <w:rPr>
                <w:rFonts w:cs="Times New Roman"/>
                <w:sz w:val="21"/>
                <w:szCs w:val="21"/>
              </w:rPr>
            </w:pPr>
          </w:p>
        </w:tc>
        <w:tc>
          <w:tcPr>
            <w:tcW w:w="1132" w:type="dxa"/>
            <w:tcBorders>
              <w:bottom w:val="single" w:color="auto" w:sz="12" w:space="0"/>
            </w:tcBorders>
            <w:shd w:val="clear" w:color="auto" w:fill="auto"/>
            <w:vAlign w:val="center"/>
          </w:tcPr>
          <w:p>
            <w:pPr>
              <w:spacing w:line="240" w:lineRule="auto"/>
              <w:ind w:firstLine="0" w:firstLineChars="0"/>
              <w:jc w:val="center"/>
              <w:rPr>
                <w:rFonts w:cs="Times New Roman"/>
                <w:b/>
                <w:bCs w:val="0"/>
                <w:sz w:val="21"/>
                <w:szCs w:val="21"/>
              </w:rPr>
            </w:pPr>
            <w:r>
              <w:rPr>
                <w:rFonts w:cs="Times New Roman"/>
                <w:b/>
                <w:bCs w:val="0"/>
                <w:sz w:val="21"/>
                <w:szCs w:val="21"/>
              </w:rPr>
              <w:t>X</w:t>
            </w:r>
          </w:p>
        </w:tc>
        <w:tc>
          <w:tcPr>
            <w:tcW w:w="1270" w:type="dxa"/>
            <w:tcBorders>
              <w:bottom w:val="single" w:color="auto" w:sz="12" w:space="0"/>
            </w:tcBorders>
            <w:shd w:val="clear" w:color="auto" w:fill="auto"/>
            <w:vAlign w:val="center"/>
          </w:tcPr>
          <w:p>
            <w:pPr>
              <w:spacing w:line="240" w:lineRule="auto"/>
              <w:ind w:firstLine="0" w:firstLineChars="0"/>
              <w:jc w:val="center"/>
              <w:rPr>
                <w:rFonts w:cs="Times New Roman"/>
                <w:b/>
                <w:bCs w:val="0"/>
                <w:sz w:val="21"/>
                <w:szCs w:val="21"/>
              </w:rPr>
            </w:pPr>
            <w:r>
              <w:rPr>
                <w:rFonts w:cs="Times New Roman"/>
                <w:b/>
                <w:bCs w:val="0"/>
                <w:sz w:val="21"/>
                <w:szCs w:val="21"/>
              </w:rPr>
              <w:t>Y</w:t>
            </w:r>
          </w:p>
        </w:tc>
        <w:tc>
          <w:tcPr>
            <w:tcW w:w="1267" w:type="dxa"/>
            <w:tcBorders>
              <w:bottom w:val="single" w:color="auto" w:sz="12" w:space="0"/>
            </w:tcBorders>
            <w:shd w:val="clear" w:color="auto" w:fill="auto"/>
            <w:vAlign w:val="center"/>
          </w:tcPr>
          <w:p>
            <w:pPr>
              <w:spacing w:line="240" w:lineRule="auto"/>
              <w:ind w:firstLine="0" w:firstLineChars="0"/>
              <w:jc w:val="center"/>
              <w:rPr>
                <w:rFonts w:cs="Times New Roman"/>
                <w:b/>
                <w:bCs w:val="0"/>
                <w:sz w:val="21"/>
                <w:szCs w:val="21"/>
              </w:rPr>
            </w:pPr>
            <w:r>
              <w:rPr>
                <w:rFonts w:cs="Times New Roman"/>
                <w:b/>
                <w:bCs w:val="0"/>
                <w:sz w:val="21"/>
                <w:szCs w:val="21"/>
              </w:rPr>
              <w:t>Z</w:t>
            </w:r>
          </w:p>
        </w:tc>
        <w:tc>
          <w:tcPr>
            <w:tcW w:w="1268" w:type="dxa"/>
            <w:vMerge w:val="continue"/>
            <w:tcBorders>
              <w:bottom w:val="single" w:color="auto" w:sz="12" w:space="0"/>
            </w:tcBorders>
            <w:shd w:val="clear" w:color="auto" w:fill="auto"/>
            <w:vAlign w:val="center"/>
          </w:tcPr>
          <w:p>
            <w:pPr>
              <w:spacing w:line="240" w:lineRule="auto"/>
              <w:ind w:firstLine="0" w:firstLineChars="0"/>
              <w:jc w:val="center"/>
              <w:rPr>
                <w:rFonts w:cs="Times New Roman"/>
                <w:sz w:val="21"/>
                <w:szCs w:val="21"/>
              </w:rPr>
            </w:pPr>
          </w:p>
        </w:tc>
        <w:tc>
          <w:tcPr>
            <w:tcW w:w="729" w:type="dxa"/>
            <w:vMerge w:val="continue"/>
            <w:tcBorders>
              <w:bottom w:val="single" w:color="auto" w:sz="12" w:space="0"/>
            </w:tcBorders>
            <w:shd w:val="clear" w:color="auto" w:fill="auto"/>
            <w:vAlign w:val="center"/>
          </w:tcPr>
          <w:p>
            <w:pPr>
              <w:spacing w:line="240" w:lineRule="auto"/>
              <w:ind w:firstLine="0" w:firstLineChars="0"/>
              <w:jc w:val="center"/>
              <w:rPr>
                <w:rFonts w:cs="Times New Roman"/>
                <w:sz w:val="21"/>
                <w:szCs w:val="21"/>
              </w:rPr>
            </w:pPr>
          </w:p>
        </w:tc>
        <w:tc>
          <w:tcPr>
            <w:tcW w:w="1386" w:type="dxa"/>
            <w:vMerge w:val="continue"/>
            <w:tcBorders>
              <w:bottom w:val="single" w:color="auto" w:sz="12" w:space="0"/>
            </w:tcBorders>
            <w:shd w:val="clear" w:color="auto" w:fill="auto"/>
            <w:vAlign w:val="center"/>
          </w:tcPr>
          <w:p>
            <w:pPr>
              <w:spacing w:line="240" w:lineRule="auto"/>
              <w:ind w:firstLine="0" w:firstLineChars="0"/>
              <w:jc w:val="center"/>
              <w:rPr>
                <w:rFonts w:cs="Times New Roman"/>
                <w:sz w:val="21"/>
                <w:szCs w:val="21"/>
              </w:rPr>
            </w:pPr>
          </w:p>
        </w:tc>
        <w:tc>
          <w:tcPr>
            <w:tcW w:w="4444" w:type="dxa"/>
            <w:vMerge w:val="continue"/>
            <w:tcBorders>
              <w:bottom w:val="single" w:color="auto" w:sz="12" w:space="0"/>
              <w:right w:val="nil"/>
            </w:tcBorders>
            <w:shd w:val="clear" w:color="auto" w:fill="auto"/>
            <w:vAlign w:val="center"/>
          </w:tcPr>
          <w:p>
            <w:pPr>
              <w:spacing w:line="240" w:lineRule="auto"/>
              <w:ind w:firstLine="0" w:firstLineChars="0"/>
              <w:jc w:val="center"/>
              <w:rPr>
                <w:rFonts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7" w:hRule="exact"/>
          <w:jc w:val="center"/>
        </w:trPr>
        <w:tc>
          <w:tcPr>
            <w:tcW w:w="811" w:type="dxa"/>
            <w:tcBorders>
              <w:top w:val="single" w:color="auto" w:sz="12" w:space="0"/>
              <w:left w:val="nil"/>
              <w:bottom w:val="single" w:color="auto" w:sz="12" w:space="0"/>
            </w:tcBorders>
            <w:shd w:val="clear" w:color="auto" w:fill="auto"/>
            <w:vAlign w:val="center"/>
          </w:tcPr>
          <w:p>
            <w:pPr>
              <w:spacing w:line="240" w:lineRule="auto"/>
              <w:ind w:firstLine="0" w:firstLineChars="0"/>
              <w:jc w:val="center"/>
              <w:rPr>
                <w:b w:val="0"/>
                <w:bCs w:val="0"/>
                <w:sz w:val="21"/>
              </w:rPr>
            </w:pPr>
            <w:r>
              <w:rPr>
                <w:rFonts w:cs="Arial"/>
                <w:b w:val="0"/>
                <w:bCs w:val="0"/>
                <w:sz w:val="21"/>
              </w:rPr>
              <w:t>1</w:t>
            </w:r>
          </w:p>
        </w:tc>
        <w:tc>
          <w:tcPr>
            <w:tcW w:w="1687" w:type="dxa"/>
            <w:tcBorders>
              <w:top w:val="single" w:color="auto" w:sz="12" w:space="0"/>
              <w:bottom w:val="single" w:color="auto" w:sz="12" w:space="0"/>
            </w:tcBorders>
            <w:shd w:val="clear" w:color="auto" w:fill="auto"/>
            <w:vAlign w:val="center"/>
          </w:tcPr>
          <w:p>
            <w:pPr>
              <w:spacing w:line="240" w:lineRule="auto"/>
              <w:ind w:firstLine="0" w:firstLineChars="0"/>
              <w:jc w:val="center"/>
              <w:rPr>
                <w:b w:val="0"/>
                <w:bCs w:val="0"/>
                <w:sz w:val="21"/>
              </w:rPr>
            </w:pPr>
            <w:r>
              <w:rPr>
                <w:rFonts w:cs="Arial"/>
                <w:b w:val="0"/>
                <w:bCs w:val="0"/>
                <w:sz w:val="21"/>
              </w:rPr>
              <w:t>新郭</w:t>
            </w:r>
            <w:r>
              <w:rPr>
                <w:rFonts w:hint="eastAsia" w:cs="Arial"/>
                <w:b w:val="0"/>
                <w:bCs w:val="0"/>
                <w:sz w:val="21"/>
              </w:rPr>
              <w:t>行</w:t>
            </w:r>
            <w:r>
              <w:rPr>
                <w:rFonts w:cs="Arial"/>
                <w:b w:val="0"/>
                <w:bCs w:val="0"/>
                <w:sz w:val="21"/>
              </w:rPr>
              <w:t>村</w:t>
            </w:r>
          </w:p>
        </w:tc>
        <w:tc>
          <w:tcPr>
            <w:tcW w:w="1132" w:type="dxa"/>
            <w:tcBorders>
              <w:top w:val="single" w:color="auto" w:sz="12" w:space="0"/>
              <w:bottom w:val="single" w:color="auto" w:sz="12" w:space="0"/>
            </w:tcBorders>
            <w:shd w:val="clear" w:color="auto" w:fill="auto"/>
            <w:vAlign w:val="center"/>
          </w:tcPr>
          <w:p>
            <w:pPr>
              <w:spacing w:line="240" w:lineRule="auto"/>
              <w:ind w:firstLine="0" w:firstLineChars="0"/>
              <w:jc w:val="center"/>
              <w:rPr>
                <w:b w:val="0"/>
                <w:bCs w:val="0"/>
                <w:sz w:val="21"/>
              </w:rPr>
            </w:pPr>
            <w:r>
              <w:rPr>
                <w:rFonts w:cs="Arial"/>
                <w:b w:val="0"/>
                <w:bCs w:val="0"/>
                <w:sz w:val="21"/>
              </w:rPr>
              <w:t>-222</w:t>
            </w:r>
          </w:p>
        </w:tc>
        <w:tc>
          <w:tcPr>
            <w:tcW w:w="1270" w:type="dxa"/>
            <w:tcBorders>
              <w:top w:val="single" w:color="auto" w:sz="12" w:space="0"/>
              <w:bottom w:val="single" w:color="auto" w:sz="12" w:space="0"/>
            </w:tcBorders>
            <w:shd w:val="clear" w:color="auto" w:fill="auto"/>
            <w:vAlign w:val="center"/>
          </w:tcPr>
          <w:p>
            <w:pPr>
              <w:spacing w:line="240" w:lineRule="auto"/>
              <w:ind w:firstLine="0" w:firstLineChars="0"/>
              <w:jc w:val="center"/>
              <w:rPr>
                <w:b w:val="0"/>
                <w:bCs w:val="0"/>
                <w:sz w:val="21"/>
              </w:rPr>
            </w:pPr>
            <w:r>
              <w:rPr>
                <w:rFonts w:cs="Arial"/>
                <w:b w:val="0"/>
                <w:bCs w:val="0"/>
                <w:sz w:val="21"/>
              </w:rPr>
              <w:t>537.4</w:t>
            </w:r>
          </w:p>
        </w:tc>
        <w:tc>
          <w:tcPr>
            <w:tcW w:w="1267" w:type="dxa"/>
            <w:tcBorders>
              <w:top w:val="single" w:color="auto" w:sz="12" w:space="0"/>
              <w:bottom w:val="single" w:color="auto" w:sz="12" w:space="0"/>
            </w:tcBorders>
            <w:shd w:val="clear" w:color="auto" w:fill="auto"/>
            <w:vAlign w:val="center"/>
          </w:tcPr>
          <w:p>
            <w:pPr>
              <w:spacing w:line="240" w:lineRule="auto"/>
              <w:ind w:firstLine="0" w:firstLineChars="0"/>
              <w:jc w:val="center"/>
              <w:rPr>
                <w:b w:val="0"/>
                <w:bCs w:val="0"/>
                <w:sz w:val="21"/>
              </w:rPr>
            </w:pPr>
            <w:r>
              <w:rPr>
                <w:rFonts w:hint="eastAsia"/>
                <w:b w:val="0"/>
                <w:bCs w:val="0"/>
                <w:sz w:val="21"/>
              </w:rPr>
              <w:t>1.2</w:t>
            </w:r>
          </w:p>
        </w:tc>
        <w:tc>
          <w:tcPr>
            <w:tcW w:w="1268" w:type="dxa"/>
            <w:tcBorders>
              <w:top w:val="single" w:color="auto" w:sz="12" w:space="0"/>
              <w:bottom w:val="single" w:color="auto" w:sz="12" w:space="0"/>
            </w:tcBorders>
            <w:shd w:val="clear" w:color="auto" w:fill="auto"/>
            <w:vAlign w:val="center"/>
          </w:tcPr>
          <w:p>
            <w:pPr>
              <w:spacing w:line="240" w:lineRule="auto"/>
              <w:ind w:firstLine="0" w:firstLineChars="0"/>
              <w:jc w:val="center"/>
              <w:rPr>
                <w:b w:val="0"/>
                <w:bCs w:val="0"/>
                <w:sz w:val="21"/>
              </w:rPr>
            </w:pPr>
            <w:r>
              <w:rPr>
                <w:rFonts w:hint="eastAsia" w:cs="Arial"/>
                <w:b w:val="0"/>
                <w:bCs w:val="0"/>
                <w:sz w:val="21"/>
              </w:rPr>
              <w:t>20</w:t>
            </w:r>
          </w:p>
        </w:tc>
        <w:tc>
          <w:tcPr>
            <w:tcW w:w="729" w:type="dxa"/>
            <w:tcBorders>
              <w:top w:val="single" w:color="auto" w:sz="12" w:space="0"/>
              <w:bottom w:val="single" w:color="auto" w:sz="12" w:space="0"/>
            </w:tcBorders>
            <w:shd w:val="clear" w:color="auto" w:fill="auto"/>
            <w:vAlign w:val="center"/>
          </w:tcPr>
          <w:p>
            <w:pPr>
              <w:spacing w:line="240" w:lineRule="auto"/>
              <w:ind w:firstLine="0" w:firstLineChars="0"/>
              <w:jc w:val="center"/>
              <w:rPr>
                <w:b w:val="0"/>
                <w:bCs w:val="0"/>
                <w:sz w:val="21"/>
              </w:rPr>
            </w:pPr>
            <w:r>
              <w:rPr>
                <w:rFonts w:hint="eastAsia"/>
                <w:b w:val="0"/>
                <w:bCs w:val="0"/>
                <w:sz w:val="21"/>
              </w:rPr>
              <w:t>西北</w:t>
            </w:r>
          </w:p>
        </w:tc>
        <w:tc>
          <w:tcPr>
            <w:tcW w:w="1386" w:type="dxa"/>
            <w:tcBorders>
              <w:top w:val="single" w:color="auto" w:sz="12" w:space="0"/>
              <w:bottom w:val="single" w:color="auto" w:sz="12" w:space="0"/>
            </w:tcBorders>
            <w:shd w:val="clear" w:color="auto" w:fill="auto"/>
            <w:vAlign w:val="center"/>
          </w:tcPr>
          <w:p>
            <w:pPr>
              <w:spacing w:line="240" w:lineRule="auto"/>
              <w:ind w:firstLine="0" w:firstLineChars="0"/>
              <w:jc w:val="center"/>
              <w:rPr>
                <w:b w:val="0"/>
                <w:bCs w:val="0"/>
                <w:sz w:val="21"/>
              </w:rPr>
            </w:pPr>
            <w:r>
              <w:rPr>
                <w:rFonts w:hint="eastAsia"/>
                <w:b w:val="0"/>
                <w:bCs w:val="0"/>
                <w:sz w:val="21"/>
              </w:rPr>
              <w:t>1类</w:t>
            </w:r>
          </w:p>
        </w:tc>
        <w:tc>
          <w:tcPr>
            <w:tcW w:w="4444" w:type="dxa"/>
            <w:tcBorders>
              <w:top w:val="single" w:color="auto" w:sz="12" w:space="0"/>
              <w:bottom w:val="single" w:color="auto" w:sz="12" w:space="0"/>
              <w:right w:val="nil"/>
            </w:tcBorders>
            <w:shd w:val="clear" w:color="auto" w:fill="auto"/>
            <w:vAlign w:val="center"/>
          </w:tcPr>
          <w:p>
            <w:pPr>
              <w:spacing w:line="240" w:lineRule="auto"/>
              <w:ind w:firstLine="0" w:firstLineChars="0"/>
              <w:jc w:val="center"/>
              <w:rPr>
                <w:b w:val="0"/>
                <w:bCs w:val="0"/>
                <w:sz w:val="21"/>
              </w:rPr>
            </w:pPr>
            <w:r>
              <w:rPr>
                <w:rFonts w:hint="eastAsia"/>
                <w:b w:val="0"/>
                <w:bCs w:val="0"/>
                <w:sz w:val="21"/>
              </w:rPr>
              <w:t>砖瓦结构、坐北朝南、1层、耕地</w:t>
            </w:r>
          </w:p>
        </w:tc>
      </w:tr>
    </w:tbl>
    <w:p>
      <w:pPr>
        <w:pStyle w:val="42"/>
        <w:ind w:firstLine="480"/>
        <w:rPr>
          <w:color w:val="auto"/>
        </w:rPr>
        <w:sectPr>
          <w:pgSz w:w="16840" w:h="11907" w:orient="landscape"/>
          <w:pgMar w:top="1531" w:right="794" w:bottom="1531" w:left="794" w:header="851" w:footer="851" w:gutter="0"/>
          <w:cols w:space="720" w:num="1"/>
          <w:docGrid w:linePitch="312" w:charSpace="0"/>
        </w:sectPr>
      </w:pPr>
    </w:p>
    <w:tbl>
      <w:tblPr>
        <w:tblStyle w:val="3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3"/>
        <w:gridCol w:w="84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82" w:hRule="atLeast"/>
          <w:jc w:val="center"/>
        </w:trPr>
        <w:tc>
          <w:tcPr>
            <w:tcW w:w="443" w:type="dxa"/>
            <w:tcMar>
              <w:left w:w="28" w:type="dxa"/>
              <w:right w:w="28" w:type="dxa"/>
            </w:tcMar>
            <w:vAlign w:val="center"/>
          </w:tcPr>
          <w:p>
            <w:pPr>
              <w:adjustRightInd w:val="0"/>
              <w:snapToGrid w:val="0"/>
              <w:ind w:firstLine="0" w:firstLineChars="0"/>
              <w:jc w:val="center"/>
              <w:rPr>
                <w:rFonts w:cs="Times New Roman"/>
                <w:b/>
                <w:szCs w:val="21"/>
              </w:rPr>
            </w:pPr>
          </w:p>
        </w:tc>
        <w:tc>
          <w:tcPr>
            <w:tcW w:w="8465" w:type="dxa"/>
          </w:tcPr>
          <w:p>
            <w:pPr>
              <w:pStyle w:val="5"/>
            </w:pPr>
            <w:r>
              <w:rPr>
                <w:rFonts w:hint="eastAsia"/>
              </w:rPr>
              <w:t>4.4.4监测因子与监测点位</w:t>
            </w:r>
          </w:p>
          <w:p>
            <w:pPr>
              <w:ind w:firstLine="480"/>
            </w:pPr>
            <w:r>
              <w:rPr>
                <w:rFonts w:hint="eastAsia"/>
              </w:rPr>
              <w:t>根据2022年《临汾同盛源再生资源循环科技有限公司新建年回收加工配送5万吨废旧特种金属项目环境影响评价检测报告》，同盛源噪声监测点与项目位置关系和监测数据见表4-6。</w:t>
            </w:r>
          </w:p>
          <w:p>
            <w:pPr>
              <w:spacing w:line="240" w:lineRule="auto"/>
              <w:ind w:firstLine="0" w:firstLineChars="0"/>
              <w:jc w:val="center"/>
              <w:rPr>
                <w:b/>
                <w:bCs/>
                <w:sz w:val="21"/>
              </w:rPr>
            </w:pPr>
            <w:r>
              <w:rPr>
                <w:rFonts w:hint="eastAsia"/>
                <w:b/>
                <w:bCs/>
                <w:sz w:val="21"/>
              </w:rPr>
              <w:t>表4-6  监测点与项目位置关系</w:t>
            </w:r>
            <w:bookmarkStart w:id="9" w:name="PT_1"/>
            <w:r>
              <w:rPr>
                <w:rFonts w:hint="eastAsia"/>
                <w:b/>
                <w:bCs/>
                <w:sz w:val="21"/>
              </w:rPr>
              <w:t>和监测数据</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9"/>
              <w:gridCol w:w="729"/>
              <w:gridCol w:w="729"/>
              <w:gridCol w:w="1468"/>
              <w:gridCol w:w="1361"/>
              <w:gridCol w:w="1173"/>
              <w:gridCol w:w="954"/>
              <w:gridCol w:w="11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exact"/>
                <w:jc w:val="center"/>
              </w:trPr>
              <w:tc>
                <w:tcPr>
                  <w:tcW w:w="729" w:type="dxa"/>
                  <w:vMerge w:val="restart"/>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序号</w:t>
                  </w:r>
                </w:p>
              </w:tc>
              <w:tc>
                <w:tcPr>
                  <w:tcW w:w="729" w:type="dxa"/>
                  <w:vMerge w:val="restart"/>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监测点位</w:t>
                  </w:r>
                </w:p>
              </w:tc>
              <w:tc>
                <w:tcPr>
                  <w:tcW w:w="729" w:type="dxa"/>
                  <w:vMerge w:val="restart"/>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方位</w:t>
                  </w:r>
                </w:p>
              </w:tc>
              <w:tc>
                <w:tcPr>
                  <w:tcW w:w="4002" w:type="dxa"/>
                  <w:gridSpan w:val="3"/>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空间相对位置/m</w:t>
                  </w:r>
                </w:p>
              </w:tc>
              <w:tc>
                <w:tcPr>
                  <w:tcW w:w="2060" w:type="dxa"/>
                  <w:gridSpan w:val="2"/>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监测结果dB（A）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Merge w:val="continue"/>
                  <w:tcBorders>
                    <w:bottom w:val="single" w:color="auto" w:sz="12" w:space="0"/>
                  </w:tcBorders>
                  <w:shd w:val="clear" w:color="auto" w:fill="auto"/>
                </w:tcPr>
                <w:p>
                  <w:pPr>
                    <w:pStyle w:val="42"/>
                    <w:spacing w:line="240" w:lineRule="auto"/>
                    <w:ind w:firstLine="0" w:firstLineChars="0"/>
                    <w:jc w:val="center"/>
                    <w:rPr>
                      <w:b/>
                      <w:bCs/>
                      <w:color w:val="auto"/>
                      <w:sz w:val="21"/>
                    </w:rPr>
                  </w:pPr>
                </w:p>
              </w:tc>
              <w:tc>
                <w:tcPr>
                  <w:tcW w:w="729" w:type="dxa"/>
                  <w:vMerge w:val="continue"/>
                  <w:tcBorders>
                    <w:bottom w:val="single" w:color="auto" w:sz="12" w:space="0"/>
                  </w:tcBorders>
                  <w:shd w:val="clear" w:color="auto" w:fill="auto"/>
                </w:tcPr>
                <w:p>
                  <w:pPr>
                    <w:pStyle w:val="42"/>
                    <w:spacing w:line="240" w:lineRule="auto"/>
                    <w:ind w:firstLine="0" w:firstLineChars="0"/>
                    <w:jc w:val="center"/>
                    <w:rPr>
                      <w:b/>
                      <w:bCs/>
                      <w:color w:val="auto"/>
                      <w:sz w:val="21"/>
                    </w:rPr>
                  </w:pPr>
                </w:p>
              </w:tc>
              <w:tc>
                <w:tcPr>
                  <w:tcW w:w="729" w:type="dxa"/>
                  <w:vMerge w:val="continue"/>
                  <w:tcBorders>
                    <w:bottom w:val="single" w:color="auto" w:sz="12" w:space="0"/>
                  </w:tcBorders>
                  <w:shd w:val="clear" w:color="auto" w:fill="auto"/>
                </w:tcPr>
                <w:p>
                  <w:pPr>
                    <w:pStyle w:val="42"/>
                    <w:spacing w:line="240" w:lineRule="auto"/>
                    <w:ind w:firstLine="0" w:firstLineChars="0"/>
                    <w:jc w:val="center"/>
                    <w:rPr>
                      <w:b/>
                      <w:bCs/>
                      <w:color w:val="auto"/>
                      <w:sz w:val="21"/>
                    </w:rPr>
                  </w:pPr>
                </w:p>
              </w:tc>
              <w:tc>
                <w:tcPr>
                  <w:tcW w:w="1468" w:type="dxa"/>
                  <w:tcBorders>
                    <w:bottom w:val="single" w:color="auto" w:sz="12" w:space="0"/>
                  </w:tcBorders>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X</w:t>
                  </w:r>
                </w:p>
              </w:tc>
              <w:tc>
                <w:tcPr>
                  <w:tcW w:w="1361" w:type="dxa"/>
                  <w:tcBorders>
                    <w:bottom w:val="single" w:color="auto" w:sz="12" w:space="0"/>
                  </w:tcBorders>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Y</w:t>
                  </w:r>
                </w:p>
              </w:tc>
              <w:tc>
                <w:tcPr>
                  <w:tcW w:w="1173" w:type="dxa"/>
                  <w:tcBorders>
                    <w:bottom w:val="single" w:color="auto" w:sz="12" w:space="0"/>
                  </w:tcBorders>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Z</w:t>
                  </w:r>
                  <w:bookmarkEnd w:id="9"/>
                </w:p>
              </w:tc>
              <w:tc>
                <w:tcPr>
                  <w:tcW w:w="954" w:type="dxa"/>
                  <w:tcBorders>
                    <w:bottom w:val="single" w:color="auto" w:sz="12" w:space="0"/>
                  </w:tcBorders>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昼间</w:t>
                  </w:r>
                </w:p>
              </w:tc>
              <w:tc>
                <w:tcPr>
                  <w:tcW w:w="1106" w:type="dxa"/>
                  <w:tcBorders>
                    <w:bottom w:val="single" w:color="auto" w:sz="12" w:space="0"/>
                  </w:tcBorders>
                  <w:shd w:val="clear" w:color="auto" w:fill="auto"/>
                  <w:vAlign w:val="center"/>
                </w:tcPr>
                <w:p>
                  <w:pPr>
                    <w:pStyle w:val="42"/>
                    <w:spacing w:line="240" w:lineRule="auto"/>
                    <w:ind w:firstLine="0" w:firstLineChars="0"/>
                    <w:jc w:val="center"/>
                    <w:rPr>
                      <w:b/>
                      <w:bCs/>
                      <w:color w:val="auto"/>
                      <w:sz w:val="21"/>
                    </w:rPr>
                  </w:pPr>
                  <w:r>
                    <w:rPr>
                      <w:rFonts w:hint="eastAsia"/>
                      <w:b/>
                      <w:bCs/>
                      <w:color w:val="auto"/>
                      <w:sz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4" w:hRule="exact"/>
                <w:jc w:val="center"/>
              </w:trPr>
              <w:tc>
                <w:tcPr>
                  <w:tcW w:w="729" w:type="dxa"/>
                  <w:tcBorders>
                    <w:top w:val="single" w:color="auto" w:sz="12" w:space="0"/>
                    <w:tl2br w:val="nil"/>
                    <w:tr2bl w:val="nil"/>
                  </w:tcBorders>
                  <w:shd w:val="clear" w:color="auto" w:fill="auto"/>
                  <w:vAlign w:val="center"/>
                </w:tcPr>
                <w:p>
                  <w:pPr>
                    <w:pStyle w:val="42"/>
                    <w:spacing w:line="240" w:lineRule="auto"/>
                    <w:ind w:firstLine="0" w:firstLineChars="0"/>
                    <w:jc w:val="center"/>
                    <w:rPr>
                      <w:color w:val="auto"/>
                      <w:sz w:val="21"/>
                    </w:rPr>
                  </w:pPr>
                  <w:r>
                    <w:rPr>
                      <w:rFonts w:hint="eastAsia"/>
                      <w:color w:val="auto"/>
                      <w:sz w:val="21"/>
                    </w:rPr>
                    <w:t>1</w:t>
                  </w:r>
                </w:p>
              </w:tc>
              <w:tc>
                <w:tcPr>
                  <w:tcW w:w="729" w:type="dxa"/>
                  <w:tcBorders>
                    <w:top w:val="single" w:color="auto" w:sz="12" w:space="0"/>
                    <w:tl2br w:val="nil"/>
                    <w:tr2bl w:val="nil"/>
                  </w:tcBorders>
                  <w:shd w:val="clear" w:color="auto" w:fill="auto"/>
                  <w:vAlign w:val="center"/>
                </w:tcPr>
                <w:p>
                  <w:pPr>
                    <w:autoSpaceDE w:val="0"/>
                    <w:spacing w:line="240" w:lineRule="auto"/>
                    <w:ind w:firstLine="0" w:firstLineChars="0"/>
                    <w:jc w:val="center"/>
                    <w:rPr>
                      <w:sz w:val="21"/>
                    </w:rPr>
                  </w:pPr>
                  <w:r>
                    <w:rPr>
                      <w:rFonts w:cs="Times New Roman"/>
                      <w:sz w:val="21"/>
                      <w:szCs w:val="24"/>
                    </w:rPr>
                    <w:t>1#</w:t>
                  </w:r>
                </w:p>
              </w:tc>
              <w:tc>
                <w:tcPr>
                  <w:tcW w:w="729" w:type="dxa"/>
                  <w:tcBorders>
                    <w:top w:val="single" w:color="auto" w:sz="12" w:space="0"/>
                    <w:tl2br w:val="nil"/>
                    <w:tr2bl w:val="nil"/>
                  </w:tcBorders>
                  <w:shd w:val="clear" w:color="auto" w:fill="auto"/>
                  <w:vAlign w:val="center"/>
                </w:tcPr>
                <w:p>
                  <w:pPr>
                    <w:spacing w:line="240" w:lineRule="auto"/>
                    <w:ind w:firstLine="0" w:firstLineChars="0"/>
                    <w:jc w:val="center"/>
                    <w:rPr>
                      <w:sz w:val="21"/>
                    </w:rPr>
                  </w:pPr>
                  <w:r>
                    <w:rPr>
                      <w:rFonts w:cs="Arial"/>
                      <w:sz w:val="21"/>
                    </w:rPr>
                    <w:t>西北</w:t>
                  </w:r>
                </w:p>
              </w:tc>
              <w:tc>
                <w:tcPr>
                  <w:tcW w:w="1468" w:type="dxa"/>
                  <w:tcBorders>
                    <w:top w:val="single" w:color="auto" w:sz="12" w:space="0"/>
                    <w:tl2br w:val="nil"/>
                    <w:tr2bl w:val="nil"/>
                  </w:tcBorders>
                  <w:shd w:val="clear" w:color="auto" w:fill="auto"/>
                  <w:vAlign w:val="center"/>
                </w:tcPr>
                <w:p>
                  <w:pPr>
                    <w:spacing w:line="240" w:lineRule="auto"/>
                    <w:ind w:firstLine="0" w:firstLineChars="0"/>
                    <w:jc w:val="center"/>
                    <w:rPr>
                      <w:sz w:val="21"/>
                    </w:rPr>
                  </w:pPr>
                  <w:r>
                    <w:rPr>
                      <w:rFonts w:cs="Arial"/>
                      <w:sz w:val="21"/>
                    </w:rPr>
                    <w:t>-309.6</w:t>
                  </w:r>
                </w:p>
              </w:tc>
              <w:tc>
                <w:tcPr>
                  <w:tcW w:w="1361" w:type="dxa"/>
                  <w:tcBorders>
                    <w:top w:val="single" w:color="auto" w:sz="12" w:space="0"/>
                    <w:tl2br w:val="nil"/>
                    <w:tr2bl w:val="nil"/>
                  </w:tcBorders>
                  <w:shd w:val="clear" w:color="auto" w:fill="auto"/>
                  <w:vAlign w:val="center"/>
                </w:tcPr>
                <w:p>
                  <w:pPr>
                    <w:spacing w:line="240" w:lineRule="auto"/>
                    <w:ind w:firstLine="0" w:firstLineChars="0"/>
                    <w:jc w:val="center"/>
                    <w:rPr>
                      <w:sz w:val="21"/>
                    </w:rPr>
                  </w:pPr>
                  <w:r>
                    <w:rPr>
                      <w:rFonts w:cs="Arial"/>
                      <w:sz w:val="21"/>
                    </w:rPr>
                    <w:t>314.2</w:t>
                  </w:r>
                </w:p>
              </w:tc>
              <w:tc>
                <w:tcPr>
                  <w:tcW w:w="1173" w:type="dxa"/>
                  <w:tcBorders>
                    <w:top w:val="single" w:color="auto" w:sz="12" w:space="0"/>
                    <w:tl2br w:val="nil"/>
                    <w:tr2bl w:val="nil"/>
                  </w:tcBorders>
                  <w:shd w:val="clear" w:color="auto" w:fill="auto"/>
                  <w:vAlign w:val="center"/>
                </w:tcPr>
                <w:p>
                  <w:pPr>
                    <w:spacing w:line="240" w:lineRule="auto"/>
                    <w:ind w:firstLine="0" w:firstLineChars="0"/>
                    <w:jc w:val="center"/>
                    <w:rPr>
                      <w:sz w:val="21"/>
                    </w:rPr>
                  </w:pPr>
                  <w:r>
                    <w:rPr>
                      <w:rFonts w:cs="Arial"/>
                      <w:sz w:val="21"/>
                    </w:rPr>
                    <w:t>522.4</w:t>
                  </w:r>
                </w:p>
              </w:tc>
              <w:tc>
                <w:tcPr>
                  <w:tcW w:w="954" w:type="dxa"/>
                  <w:tcBorders>
                    <w:top w:val="single" w:color="auto" w:sz="12" w:space="0"/>
                    <w:tl2br w:val="nil"/>
                    <w:tr2bl w:val="nil"/>
                  </w:tcBorders>
                  <w:shd w:val="clear" w:color="auto" w:fill="auto"/>
                  <w:vAlign w:val="center"/>
                </w:tcPr>
                <w:p>
                  <w:pPr>
                    <w:spacing w:line="240" w:lineRule="auto"/>
                    <w:ind w:firstLine="0" w:firstLineChars="0"/>
                    <w:jc w:val="center"/>
                    <w:rPr>
                      <w:sz w:val="21"/>
                    </w:rPr>
                  </w:pPr>
                  <w:r>
                    <w:rPr>
                      <w:rFonts w:cs="Arial"/>
                      <w:sz w:val="21"/>
                    </w:rPr>
                    <w:t>53.4</w:t>
                  </w:r>
                </w:p>
              </w:tc>
              <w:tc>
                <w:tcPr>
                  <w:tcW w:w="1106" w:type="dxa"/>
                  <w:tcBorders>
                    <w:top w:val="single" w:color="auto" w:sz="12" w:space="0"/>
                    <w:tl2br w:val="nil"/>
                    <w:tr2bl w:val="nil"/>
                  </w:tcBorders>
                  <w:shd w:val="clear" w:color="auto" w:fill="auto"/>
                  <w:vAlign w:val="center"/>
                </w:tcPr>
                <w:p>
                  <w:pPr>
                    <w:spacing w:line="240" w:lineRule="auto"/>
                    <w:ind w:firstLine="0" w:firstLineChars="0"/>
                    <w:jc w:val="center"/>
                    <w:rPr>
                      <w:sz w:val="21"/>
                    </w:rPr>
                  </w:pPr>
                  <w:r>
                    <w:rPr>
                      <w:rFonts w:cs="Arial"/>
                      <w:sz w:val="21"/>
                    </w:rPr>
                    <w:t>45.7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56" w:hRule="exact"/>
                <w:jc w:val="center"/>
              </w:trPr>
              <w:tc>
                <w:tcPr>
                  <w:tcW w:w="729" w:type="dxa"/>
                  <w:tcBorders>
                    <w:tl2br w:val="nil"/>
                    <w:tr2bl w:val="nil"/>
                  </w:tcBorders>
                  <w:shd w:val="clear" w:color="auto" w:fill="auto"/>
                  <w:vAlign w:val="center"/>
                </w:tcPr>
                <w:p>
                  <w:pPr>
                    <w:pStyle w:val="42"/>
                    <w:spacing w:line="240" w:lineRule="auto"/>
                    <w:ind w:firstLine="0" w:firstLineChars="0"/>
                    <w:jc w:val="center"/>
                    <w:rPr>
                      <w:color w:val="auto"/>
                      <w:sz w:val="21"/>
                    </w:rPr>
                  </w:pPr>
                  <w:r>
                    <w:rPr>
                      <w:rFonts w:hint="eastAsia"/>
                      <w:color w:val="auto"/>
                      <w:sz w:val="21"/>
                    </w:rPr>
                    <w:t>2</w:t>
                  </w:r>
                </w:p>
              </w:tc>
              <w:tc>
                <w:tcPr>
                  <w:tcW w:w="729" w:type="dxa"/>
                  <w:tcBorders>
                    <w:tl2br w:val="nil"/>
                    <w:tr2bl w:val="nil"/>
                  </w:tcBorders>
                  <w:shd w:val="clear" w:color="auto" w:fill="auto"/>
                  <w:vAlign w:val="center"/>
                </w:tcPr>
                <w:p>
                  <w:pPr>
                    <w:autoSpaceDE w:val="0"/>
                    <w:spacing w:line="240" w:lineRule="auto"/>
                    <w:ind w:firstLine="0" w:firstLineChars="0"/>
                    <w:jc w:val="center"/>
                    <w:rPr>
                      <w:sz w:val="21"/>
                    </w:rPr>
                  </w:pPr>
                  <w:r>
                    <w:rPr>
                      <w:rFonts w:cs="Times New Roman"/>
                      <w:sz w:val="21"/>
                      <w:szCs w:val="24"/>
                    </w:rPr>
                    <w:t>2#</w:t>
                  </w:r>
                </w:p>
              </w:tc>
              <w:tc>
                <w:tcPr>
                  <w:tcW w:w="729"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西南</w:t>
                  </w:r>
                </w:p>
              </w:tc>
              <w:tc>
                <w:tcPr>
                  <w:tcW w:w="1468"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-343.9</w:t>
                  </w:r>
                </w:p>
              </w:tc>
              <w:tc>
                <w:tcPr>
                  <w:tcW w:w="1361"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-437.7</w:t>
                  </w:r>
                </w:p>
              </w:tc>
              <w:tc>
                <w:tcPr>
                  <w:tcW w:w="1173"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527.3</w:t>
                  </w:r>
                </w:p>
              </w:tc>
              <w:tc>
                <w:tcPr>
                  <w:tcW w:w="954"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52.2</w:t>
                  </w:r>
                </w:p>
              </w:tc>
              <w:tc>
                <w:tcPr>
                  <w:tcW w:w="1106"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45.1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3" w:hRule="exact"/>
                <w:jc w:val="center"/>
              </w:trPr>
              <w:tc>
                <w:tcPr>
                  <w:tcW w:w="729" w:type="dxa"/>
                  <w:tcBorders>
                    <w:tl2br w:val="nil"/>
                    <w:tr2bl w:val="nil"/>
                  </w:tcBorders>
                  <w:shd w:val="clear" w:color="auto" w:fill="auto"/>
                  <w:vAlign w:val="center"/>
                </w:tcPr>
                <w:p>
                  <w:pPr>
                    <w:pStyle w:val="42"/>
                    <w:spacing w:line="240" w:lineRule="auto"/>
                    <w:ind w:firstLine="0" w:firstLineChars="0"/>
                    <w:jc w:val="center"/>
                    <w:rPr>
                      <w:color w:val="auto"/>
                      <w:sz w:val="21"/>
                    </w:rPr>
                  </w:pPr>
                  <w:r>
                    <w:rPr>
                      <w:rFonts w:hint="eastAsia"/>
                      <w:color w:val="auto"/>
                      <w:sz w:val="21"/>
                    </w:rPr>
                    <w:t>3</w:t>
                  </w:r>
                </w:p>
              </w:tc>
              <w:tc>
                <w:tcPr>
                  <w:tcW w:w="729" w:type="dxa"/>
                  <w:tcBorders>
                    <w:tl2br w:val="nil"/>
                    <w:tr2bl w:val="nil"/>
                  </w:tcBorders>
                  <w:shd w:val="clear" w:color="auto" w:fill="auto"/>
                  <w:vAlign w:val="center"/>
                </w:tcPr>
                <w:p>
                  <w:pPr>
                    <w:autoSpaceDE w:val="0"/>
                    <w:spacing w:line="240" w:lineRule="auto"/>
                    <w:ind w:firstLine="0" w:firstLineChars="0"/>
                    <w:jc w:val="center"/>
                    <w:rPr>
                      <w:sz w:val="21"/>
                    </w:rPr>
                  </w:pPr>
                  <w:r>
                    <w:rPr>
                      <w:rFonts w:cs="Times New Roman"/>
                      <w:sz w:val="21"/>
                      <w:szCs w:val="24"/>
                    </w:rPr>
                    <w:t>3#</w:t>
                  </w:r>
                </w:p>
              </w:tc>
              <w:tc>
                <w:tcPr>
                  <w:tcW w:w="729"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东南</w:t>
                  </w:r>
                </w:p>
              </w:tc>
              <w:tc>
                <w:tcPr>
                  <w:tcW w:w="1468"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355.7</w:t>
                  </w:r>
                </w:p>
              </w:tc>
              <w:tc>
                <w:tcPr>
                  <w:tcW w:w="1361"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-218.4</w:t>
                  </w:r>
                </w:p>
              </w:tc>
              <w:tc>
                <w:tcPr>
                  <w:tcW w:w="1173"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523.3</w:t>
                  </w:r>
                </w:p>
              </w:tc>
              <w:tc>
                <w:tcPr>
                  <w:tcW w:w="954"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52.6</w:t>
                  </w:r>
                </w:p>
              </w:tc>
              <w:tc>
                <w:tcPr>
                  <w:tcW w:w="1106"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44.6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68" w:hRule="exact"/>
                <w:jc w:val="center"/>
              </w:trPr>
              <w:tc>
                <w:tcPr>
                  <w:tcW w:w="729" w:type="dxa"/>
                  <w:tcBorders>
                    <w:tl2br w:val="nil"/>
                    <w:tr2bl w:val="nil"/>
                  </w:tcBorders>
                  <w:shd w:val="clear" w:color="auto" w:fill="auto"/>
                  <w:vAlign w:val="center"/>
                </w:tcPr>
                <w:p>
                  <w:pPr>
                    <w:pStyle w:val="42"/>
                    <w:spacing w:line="240" w:lineRule="auto"/>
                    <w:ind w:firstLine="0" w:firstLineChars="0"/>
                    <w:jc w:val="center"/>
                    <w:rPr>
                      <w:color w:val="auto"/>
                      <w:sz w:val="21"/>
                    </w:rPr>
                  </w:pPr>
                  <w:r>
                    <w:rPr>
                      <w:rFonts w:hint="eastAsia"/>
                      <w:color w:val="auto"/>
                      <w:sz w:val="21"/>
                    </w:rPr>
                    <w:t>4</w:t>
                  </w:r>
                </w:p>
              </w:tc>
              <w:tc>
                <w:tcPr>
                  <w:tcW w:w="729" w:type="dxa"/>
                  <w:tcBorders>
                    <w:tl2br w:val="nil"/>
                    <w:tr2bl w:val="nil"/>
                  </w:tcBorders>
                  <w:shd w:val="clear" w:color="auto" w:fill="auto"/>
                  <w:vAlign w:val="center"/>
                </w:tcPr>
                <w:p>
                  <w:pPr>
                    <w:autoSpaceDE w:val="0"/>
                    <w:spacing w:line="240" w:lineRule="auto"/>
                    <w:ind w:firstLine="0" w:firstLineChars="0"/>
                    <w:jc w:val="center"/>
                    <w:rPr>
                      <w:sz w:val="21"/>
                    </w:rPr>
                  </w:pPr>
                  <w:r>
                    <w:rPr>
                      <w:rFonts w:cs="Times New Roman"/>
                      <w:sz w:val="21"/>
                      <w:szCs w:val="24"/>
                    </w:rPr>
                    <w:t>4#</w:t>
                  </w:r>
                </w:p>
              </w:tc>
              <w:tc>
                <w:tcPr>
                  <w:tcW w:w="729"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东北</w:t>
                  </w:r>
                </w:p>
              </w:tc>
              <w:tc>
                <w:tcPr>
                  <w:tcW w:w="1468"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153.5</w:t>
                  </w:r>
                </w:p>
              </w:tc>
              <w:tc>
                <w:tcPr>
                  <w:tcW w:w="1361"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365.8</w:t>
                  </w:r>
                </w:p>
              </w:tc>
              <w:tc>
                <w:tcPr>
                  <w:tcW w:w="1173"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520.9</w:t>
                  </w:r>
                </w:p>
              </w:tc>
              <w:tc>
                <w:tcPr>
                  <w:tcW w:w="954"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52.7</w:t>
                  </w:r>
                </w:p>
              </w:tc>
              <w:tc>
                <w:tcPr>
                  <w:tcW w:w="1106"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45.2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00" w:hRule="exact"/>
                <w:jc w:val="center"/>
              </w:trPr>
              <w:tc>
                <w:tcPr>
                  <w:tcW w:w="8249" w:type="dxa"/>
                  <w:gridSpan w:val="8"/>
                  <w:tcBorders>
                    <w:tl2br w:val="nil"/>
                    <w:tr2bl w:val="nil"/>
                  </w:tcBorders>
                  <w:shd w:val="clear" w:color="auto" w:fill="auto"/>
                  <w:vAlign w:val="center"/>
                </w:tcPr>
                <w:p>
                  <w:pPr>
                    <w:spacing w:line="240" w:lineRule="auto"/>
                    <w:ind w:firstLine="0" w:firstLineChars="0"/>
                    <w:rPr>
                      <w:rFonts w:cs="Arial"/>
                      <w:sz w:val="18"/>
                      <w:szCs w:val="18"/>
                    </w:rPr>
                  </w:pPr>
                  <w:r>
                    <w:rPr>
                      <w:rFonts w:hint="eastAsia" w:cs="Arial"/>
                      <w:sz w:val="18"/>
                      <w:szCs w:val="18"/>
                    </w:rPr>
                    <w:t>注：</w:t>
                  </w:r>
                  <w:r>
                    <w:rPr>
                      <w:rFonts w:cs="Arial"/>
                      <w:sz w:val="18"/>
                      <w:szCs w:val="18"/>
                    </w:rPr>
                    <w:t>表中坐标以厂界中心（</w:t>
                  </w:r>
                  <w:bookmarkStart w:id="10" w:name="PO_8"/>
                  <w:r>
                    <w:rPr>
                      <w:rFonts w:cs="Arial"/>
                      <w:sz w:val="18"/>
                      <w:szCs w:val="18"/>
                    </w:rPr>
                    <w:t>111.6470947</w:t>
                  </w:r>
                  <w:r>
                    <w:rPr>
                      <w:rFonts w:hint="eastAsia" w:cs="Arial"/>
                      <w:sz w:val="18"/>
                      <w:szCs w:val="18"/>
                    </w:rPr>
                    <w:t>，</w:t>
                  </w:r>
                  <w:r>
                    <w:rPr>
                      <w:rFonts w:cs="Arial"/>
                      <w:sz w:val="18"/>
                      <w:szCs w:val="18"/>
                    </w:rPr>
                    <w:t>36.0797615</w:t>
                  </w:r>
                  <w:bookmarkEnd w:id="10"/>
                  <w:r>
                    <w:rPr>
                      <w:rFonts w:cs="Arial"/>
                      <w:sz w:val="18"/>
                      <w:szCs w:val="18"/>
                    </w:rPr>
                    <w:t>）为坐标原点，正东向为X轴正方向，正北向为Y轴正方向</w:t>
                  </w:r>
                  <w:r>
                    <w:rPr>
                      <w:rFonts w:hint="eastAsia" w:cs="Arial"/>
                      <w:sz w:val="18"/>
                      <w:szCs w:val="18"/>
                    </w:rPr>
                    <w:t>。</w:t>
                  </w:r>
                </w:p>
                <w:p>
                  <w:pPr>
                    <w:spacing w:line="240" w:lineRule="auto"/>
                    <w:ind w:firstLine="0" w:firstLineChars="0"/>
                    <w:jc w:val="center"/>
                    <w:rPr>
                      <w:rFonts w:cs="Arial"/>
                      <w:sz w:val="21"/>
                    </w:rPr>
                  </w:pPr>
                </w:p>
              </w:tc>
            </w:tr>
          </w:tbl>
          <w:p>
            <w:pPr>
              <w:pStyle w:val="5"/>
            </w:pPr>
            <w:r>
              <w:rPr>
                <w:rFonts w:hint="eastAsia"/>
              </w:rPr>
              <w:t>4.4.5噪声预测分析</w:t>
            </w:r>
          </w:p>
          <w:p>
            <w:pPr>
              <w:pStyle w:val="6"/>
            </w:pPr>
            <w:r>
              <w:rPr>
                <w:rFonts w:hint="eastAsia"/>
              </w:rPr>
              <w:t>4.4.5.1噪声衰减预测模型</w:t>
            </w:r>
          </w:p>
          <w:p>
            <w:pPr>
              <w:ind w:firstLine="480"/>
            </w:pPr>
            <w:r>
              <w:t>根据《环境影响评价技术导则</w:t>
            </w:r>
            <w:r>
              <w:rPr>
                <w:rFonts w:hint="eastAsia"/>
              </w:rPr>
              <w:t xml:space="preserve">  </w:t>
            </w:r>
            <w:r>
              <w:t>声环境》（HJ2.4-20</w:t>
            </w:r>
            <w:r>
              <w:rPr>
                <w:rFonts w:hint="eastAsia"/>
              </w:rPr>
              <w:t>21</w:t>
            </w:r>
            <w:r>
              <w:t>）的要求，</w:t>
            </w:r>
            <w:r>
              <w:rPr>
                <w:rFonts w:hint="eastAsia"/>
              </w:rPr>
              <w:t>此次评价</w:t>
            </w:r>
            <w:r>
              <w:t>采用的</w:t>
            </w:r>
            <w:r>
              <w:rPr>
                <w:rFonts w:hint="eastAsia"/>
              </w:rPr>
              <w:t>模型</w:t>
            </w:r>
            <w:r>
              <w:t xml:space="preserve">为《环境影响评价技术导则 </w:t>
            </w:r>
            <w:r>
              <w:rPr>
                <w:rFonts w:hint="eastAsia"/>
              </w:rPr>
              <w:t xml:space="preserve"> </w:t>
            </w:r>
            <w:r>
              <w:t>声环境》</w:t>
            </w:r>
            <w:r>
              <w:rPr>
                <w:rFonts w:hint="eastAsia"/>
              </w:rPr>
              <w:t>（</w:t>
            </w:r>
            <w:r>
              <w:t>HJ2.4.20</w:t>
            </w:r>
            <w:r>
              <w:rPr>
                <w:rFonts w:hint="eastAsia"/>
              </w:rPr>
              <w:t>21）附录B（规范性附录）中“B.1工业噪声预测计算模型”</w:t>
            </w:r>
            <w:r>
              <w:t>。</w:t>
            </w:r>
          </w:p>
          <w:p>
            <w:pPr>
              <w:ind w:firstLine="480"/>
            </w:pPr>
            <w:r>
              <w:rPr>
                <w:rFonts w:hint="eastAsia"/>
              </w:rPr>
              <w:drawing>
                <wp:anchor distT="0" distB="0" distL="114300" distR="114300" simplePos="0" relativeHeight="251662336" behindDoc="1" locked="0" layoutInCell="1" allowOverlap="1">
                  <wp:simplePos x="0" y="0"/>
                  <wp:positionH relativeFrom="column">
                    <wp:posOffset>1885950</wp:posOffset>
                  </wp:positionH>
                  <wp:positionV relativeFrom="paragraph">
                    <wp:posOffset>255905</wp:posOffset>
                  </wp:positionV>
                  <wp:extent cx="1755775" cy="487045"/>
                  <wp:effectExtent l="0" t="0" r="15875" b="8255"/>
                  <wp:wrapNone/>
                  <wp:docPr id="21" name="图片 21" descr="d75d3e7ec63578395183787ed0409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75d3e7ec63578395183787ed0409d6"/>
                          <pic:cNvPicPr>
                            <a:picLocks noChangeAspect="1"/>
                          </pic:cNvPicPr>
                        </pic:nvPicPr>
                        <pic:blipFill>
                          <a:blip r:embed="rId33"/>
                          <a:stretch>
                            <a:fillRect/>
                          </a:stretch>
                        </pic:blipFill>
                        <pic:spPr>
                          <a:xfrm>
                            <a:off x="0" y="0"/>
                            <a:ext cx="1755775" cy="487045"/>
                          </a:xfrm>
                          <a:prstGeom prst="rect">
                            <a:avLst/>
                          </a:prstGeom>
                        </pic:spPr>
                      </pic:pic>
                    </a:graphicData>
                  </a:graphic>
                </wp:anchor>
              </w:drawing>
            </w:r>
            <w:r>
              <w:rPr>
                <w:rFonts w:hint="eastAsia"/>
              </w:rPr>
              <w:t>室内声源靠近围护结构处产生的倍频带声压级或A声级：</w:t>
            </w:r>
          </w:p>
          <w:p>
            <w:pPr>
              <w:ind w:firstLine="480"/>
            </w:pPr>
          </w:p>
          <w:p>
            <w:pPr>
              <w:ind w:firstLine="480"/>
            </w:pPr>
            <w:r>
              <w:rPr>
                <w:rFonts w:hint="eastAsia"/>
              </w:rPr>
              <w:t>式中：L</w:t>
            </w:r>
            <w:r>
              <w:rPr>
                <w:vertAlign w:val="subscript"/>
              </w:rPr>
              <w:t>pl</w:t>
            </w:r>
            <w:r>
              <w:rPr>
                <w:rFonts w:hint="eastAsia"/>
              </w:rPr>
              <w:t>—靠近开口处（或窗户）室内某倍频带的声压级或A声级，d</w:t>
            </w:r>
            <w:r>
              <w:t>B</w:t>
            </w:r>
            <w:r>
              <w:rPr>
                <w:rFonts w:hint="eastAsia"/>
              </w:rPr>
              <w:t>；</w:t>
            </w:r>
          </w:p>
          <w:p>
            <w:pPr>
              <w:ind w:firstLine="1200" w:firstLineChars="500"/>
            </w:pPr>
            <w:r>
              <w:rPr>
                <w:rFonts w:hint="eastAsia"/>
              </w:rPr>
              <w:t>L</w:t>
            </w:r>
            <w:r>
              <w:rPr>
                <w:vertAlign w:val="subscript"/>
              </w:rPr>
              <w:t>w</w:t>
            </w:r>
            <w:r>
              <w:rPr>
                <w:rFonts w:hint="eastAsia"/>
              </w:rPr>
              <w:t>—点声源声功率级，d</w:t>
            </w:r>
            <w:r>
              <w:t>B</w:t>
            </w:r>
            <w:r>
              <w:rPr>
                <w:rFonts w:hint="eastAsia"/>
              </w:rPr>
              <w:t>；</w:t>
            </w:r>
          </w:p>
          <w:p>
            <w:pPr>
              <w:ind w:firstLine="1200" w:firstLineChars="500"/>
            </w:pPr>
            <w:r>
              <w:rPr>
                <w:rFonts w:hint="eastAsia"/>
              </w:rPr>
              <w:t>Q—指向性因数；</w:t>
            </w:r>
          </w:p>
          <w:p>
            <w:pPr>
              <w:ind w:firstLine="1200" w:firstLineChars="500"/>
            </w:pPr>
            <w:r>
              <w:rPr>
                <w:rFonts w:hint="eastAsia"/>
              </w:rPr>
              <w:t>R房间常数；R</w:t>
            </w:r>
            <w:r>
              <w:t>=S</w:t>
            </w:r>
            <w:r>
              <w:rPr>
                <w:rFonts w:cs="Times New Roman"/>
              </w:rPr>
              <w:t>α</w:t>
            </w:r>
            <w:r>
              <w:t>/</w:t>
            </w:r>
            <w:r>
              <w:rPr>
                <w:rFonts w:hint="eastAsia"/>
              </w:rPr>
              <w:t>（1</w:t>
            </w:r>
            <w:r>
              <w:t>-</w:t>
            </w:r>
            <w:r>
              <w:rPr>
                <w:rFonts w:cs="Times New Roman"/>
              </w:rPr>
              <w:t>α</w:t>
            </w:r>
            <w:r>
              <w:rPr>
                <w:rFonts w:hint="eastAsia"/>
              </w:rPr>
              <w:t>），S为房间内表面面积，m</w:t>
            </w:r>
            <w:r>
              <w:rPr>
                <w:vertAlign w:val="superscript"/>
              </w:rPr>
              <w:t>2</w:t>
            </w:r>
            <w:r>
              <w:rPr>
                <w:rFonts w:hint="eastAsia"/>
              </w:rPr>
              <w:t>；</w:t>
            </w:r>
            <w:r>
              <w:rPr>
                <w:rFonts w:cs="Times New Roman"/>
              </w:rPr>
              <w:t>α</w:t>
            </w:r>
            <w:r>
              <w:rPr>
                <w:rFonts w:hint="eastAsia"/>
              </w:rPr>
              <w:t>为平均吸声系数。</w:t>
            </w:r>
          </w:p>
          <w:p>
            <w:pPr>
              <w:ind w:firstLine="480"/>
            </w:pPr>
            <w:r>
              <w:rPr>
                <w:rFonts w:hint="eastAsia"/>
              </w:rPr>
              <w:drawing>
                <wp:anchor distT="0" distB="0" distL="114300" distR="114300" simplePos="0" relativeHeight="251661312" behindDoc="1" locked="0" layoutInCell="1" allowOverlap="1">
                  <wp:simplePos x="0" y="0"/>
                  <wp:positionH relativeFrom="column">
                    <wp:posOffset>1666240</wp:posOffset>
                  </wp:positionH>
                  <wp:positionV relativeFrom="paragraph">
                    <wp:posOffset>241300</wp:posOffset>
                  </wp:positionV>
                  <wp:extent cx="2127885" cy="438150"/>
                  <wp:effectExtent l="0" t="0" r="5715" b="0"/>
                  <wp:wrapNone/>
                  <wp:docPr id="29" name="图片 29" descr="ac9d776fc91979d08f7cdde0395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ac9d776fc91979d08f7cdde03955402"/>
                          <pic:cNvPicPr>
                            <a:picLocks noChangeAspect="1"/>
                          </pic:cNvPicPr>
                        </pic:nvPicPr>
                        <pic:blipFill>
                          <a:blip r:embed="rId34"/>
                          <a:stretch>
                            <a:fillRect/>
                          </a:stretch>
                        </pic:blipFill>
                        <pic:spPr>
                          <a:xfrm>
                            <a:off x="0" y="0"/>
                            <a:ext cx="2127885" cy="438150"/>
                          </a:xfrm>
                          <a:prstGeom prst="rect">
                            <a:avLst/>
                          </a:prstGeom>
                        </pic:spPr>
                      </pic:pic>
                    </a:graphicData>
                  </a:graphic>
                </wp:anchor>
              </w:drawing>
            </w:r>
            <w:r>
              <w:rPr>
                <w:rFonts w:hint="eastAsia"/>
              </w:rPr>
              <w:t>拟建工程声源对预测点产生的贡献值（L</w:t>
            </w:r>
            <w:r>
              <w:rPr>
                <w:vertAlign w:val="subscript"/>
              </w:rPr>
              <w:t>eqg</w:t>
            </w:r>
            <w:r>
              <w:rPr>
                <w:rFonts w:hint="eastAsia"/>
              </w:rPr>
              <w:t>）为：</w:t>
            </w:r>
          </w:p>
          <w:p>
            <w:pPr>
              <w:ind w:firstLine="480"/>
            </w:pPr>
          </w:p>
          <w:p>
            <w:pPr>
              <w:ind w:firstLine="480"/>
            </w:pPr>
            <w:r>
              <w:rPr>
                <w:rFonts w:hint="eastAsia"/>
              </w:rPr>
              <w:t>式中：L</w:t>
            </w:r>
            <w:r>
              <w:rPr>
                <w:vertAlign w:val="subscript"/>
              </w:rPr>
              <w:t>eqg</w:t>
            </w:r>
            <w:r>
              <w:rPr>
                <w:rFonts w:hint="eastAsia"/>
              </w:rPr>
              <w:t>—建设项目声源在预测点产生的噪声贡献值，d</w:t>
            </w:r>
            <w:r>
              <w:t>B</w:t>
            </w:r>
            <w:r>
              <w:rPr>
                <w:rFonts w:hint="eastAsia"/>
              </w:rPr>
              <w:t>；</w:t>
            </w:r>
          </w:p>
          <w:p>
            <w:pPr>
              <w:ind w:firstLine="1200" w:firstLineChars="500"/>
            </w:pPr>
            <w:r>
              <w:rPr>
                <w:rFonts w:hint="eastAsia"/>
              </w:rPr>
              <w:t>T—用于计算等效声级的时间，s；</w:t>
            </w:r>
          </w:p>
          <w:p>
            <w:pPr>
              <w:ind w:firstLine="1200" w:firstLineChars="500"/>
            </w:pPr>
            <w:r>
              <w:rPr>
                <w:rFonts w:hint="eastAsia"/>
              </w:rPr>
              <w:t>N—室外声源个数；</w:t>
            </w:r>
          </w:p>
          <w:p>
            <w:pPr>
              <w:ind w:firstLine="1200" w:firstLineChars="500"/>
            </w:pPr>
            <w:r>
              <w:t>t</w:t>
            </w:r>
            <w:r>
              <w:rPr>
                <w:vertAlign w:val="subscript"/>
              </w:rPr>
              <w:t>i</w:t>
            </w:r>
            <w:r>
              <w:rPr>
                <w:rFonts w:hint="eastAsia"/>
              </w:rPr>
              <w:t>—在T时间内i声源工作时间，s；</w:t>
            </w:r>
          </w:p>
          <w:p>
            <w:pPr>
              <w:ind w:firstLine="1200" w:firstLineChars="500"/>
            </w:pPr>
            <w:r>
              <w:rPr>
                <w:rFonts w:hint="eastAsia"/>
              </w:rPr>
              <w:t>M—等效室外声源个数；</w:t>
            </w:r>
          </w:p>
          <w:p>
            <w:pPr>
              <w:ind w:firstLine="1200" w:firstLineChars="500"/>
            </w:pPr>
            <w:r>
              <w:t>t</w:t>
            </w:r>
            <w:r>
              <w:rPr>
                <w:vertAlign w:val="subscript"/>
              </w:rPr>
              <w:t>j</w:t>
            </w:r>
            <w:r>
              <w:rPr>
                <w:rFonts w:hint="eastAsia"/>
              </w:rPr>
              <w:t>—在T时间内</w:t>
            </w:r>
            <w:r>
              <w:t>j</w:t>
            </w:r>
            <w:r>
              <w:rPr>
                <w:rFonts w:hint="eastAsia"/>
              </w:rPr>
              <w:t>声源工作时间，s。</w:t>
            </w:r>
          </w:p>
          <w:p>
            <w:pPr>
              <w:pStyle w:val="6"/>
            </w:pPr>
            <w:r>
              <w:rPr>
                <w:rFonts w:hint="eastAsia"/>
              </w:rPr>
              <w:t>4.4.5.2预测参数</w:t>
            </w:r>
          </w:p>
          <w:p>
            <w:pPr>
              <w:ind w:firstLine="480"/>
            </w:pPr>
            <w:r>
              <w:rPr>
                <w:rFonts w:hint="eastAsia"/>
              </w:rPr>
              <w:t>（1）</w:t>
            </w:r>
            <w:r>
              <w:t>噪声源强</w:t>
            </w:r>
          </w:p>
          <w:p>
            <w:pPr>
              <w:ind w:firstLine="480"/>
            </w:pPr>
            <w:r>
              <w:rPr>
                <w:rFonts w:hint="eastAsia"/>
              </w:rPr>
              <w:t>本项目噪声源强调查清单见表4-4，声环境保护目标调查表见表4-5。</w:t>
            </w:r>
          </w:p>
          <w:p>
            <w:pPr>
              <w:pStyle w:val="5"/>
            </w:pPr>
            <w:r>
              <w:rPr>
                <w:rFonts w:hint="eastAsia"/>
              </w:rPr>
              <w:t>4.4.6预测结果</w:t>
            </w:r>
          </w:p>
          <w:p>
            <w:pPr>
              <w:ind w:firstLine="480"/>
            </w:pPr>
            <w:r>
              <w:t>通过预测模型计算</w:t>
            </w:r>
            <w:r>
              <w:rPr>
                <w:rFonts w:hint="eastAsia"/>
              </w:rPr>
              <w:t>，项目厂界噪声预测结果与达标分析见表4-6，声环境保护目标噪声预测结果与达标分析见表4-7。本项目仅昼间运行。</w:t>
            </w:r>
          </w:p>
          <w:p>
            <w:pPr>
              <w:spacing w:line="240" w:lineRule="auto"/>
              <w:ind w:firstLine="0" w:firstLineChars="0"/>
              <w:jc w:val="center"/>
              <w:rPr>
                <w:b/>
                <w:bCs/>
                <w:sz w:val="21"/>
                <w:szCs w:val="21"/>
              </w:rPr>
            </w:pPr>
            <w:r>
              <w:rPr>
                <w:rFonts w:hint="eastAsia"/>
                <w:b/>
                <w:bCs/>
                <w:sz w:val="21"/>
                <w:szCs w:val="21"/>
              </w:rPr>
              <w:t>表4-6  厂界噪声预测结果与达标分析表（</w:t>
            </w:r>
            <w:r>
              <w:rPr>
                <w:rFonts w:cs="Times New Roman"/>
                <w:b/>
                <w:sz w:val="21"/>
                <w:szCs w:val="21"/>
              </w:rPr>
              <w:t>dB(A)</w:t>
            </w:r>
            <w:r>
              <w:rPr>
                <w:rFonts w:hint="eastAsia"/>
                <w:b/>
                <w:bCs/>
                <w:sz w:val="21"/>
                <w:szCs w:val="21"/>
              </w:rPr>
              <w:t>）</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9"/>
              <w:gridCol w:w="770"/>
              <w:gridCol w:w="756"/>
              <w:gridCol w:w="842"/>
              <w:gridCol w:w="780"/>
              <w:gridCol w:w="927"/>
              <w:gridCol w:w="951"/>
              <w:gridCol w:w="939"/>
              <w:gridCol w:w="842"/>
              <w:gridCol w:w="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exact"/>
                <w:jc w:val="center"/>
              </w:trPr>
              <w:tc>
                <w:tcPr>
                  <w:tcW w:w="799" w:type="dxa"/>
                  <w:vMerge w:val="restar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预测方位</w:t>
                  </w:r>
                </w:p>
              </w:tc>
              <w:tc>
                <w:tcPr>
                  <w:tcW w:w="2368" w:type="dxa"/>
                  <w:gridSpan w:val="3"/>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空间相对位置/m</w:t>
                  </w:r>
                </w:p>
              </w:tc>
              <w:tc>
                <w:tcPr>
                  <w:tcW w:w="780" w:type="dxa"/>
                  <w:vMerge w:val="restar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时段</w:t>
                  </w:r>
                </w:p>
              </w:tc>
              <w:tc>
                <w:tcPr>
                  <w:tcW w:w="927" w:type="dxa"/>
                  <w:vMerge w:val="restart"/>
                  <w:tcBorders>
                    <w:tl2br w:val="nil"/>
                    <w:tr2bl w:val="nil"/>
                  </w:tcBorders>
                  <w:shd w:val="clear" w:color="auto" w:fill="auto"/>
                  <w:vAlign w:val="center"/>
                </w:tcPr>
                <w:p>
                  <w:pPr>
                    <w:spacing w:line="240" w:lineRule="auto"/>
                    <w:ind w:firstLine="0" w:firstLineChars="0"/>
                    <w:jc w:val="center"/>
                    <w:rPr>
                      <w:rFonts w:cs="Times New Roman"/>
                      <w:b/>
                      <w:sz w:val="21"/>
                      <w:szCs w:val="21"/>
                    </w:rPr>
                  </w:pPr>
                  <w:r>
                    <w:rPr>
                      <w:rFonts w:hint="eastAsia" w:cs="Times New Roman"/>
                      <w:b/>
                      <w:sz w:val="21"/>
                      <w:szCs w:val="21"/>
                    </w:rPr>
                    <w:t>背景值</w:t>
                  </w:r>
                </w:p>
              </w:tc>
              <w:tc>
                <w:tcPr>
                  <w:tcW w:w="951" w:type="dxa"/>
                  <w:vMerge w:val="restart"/>
                  <w:tcBorders>
                    <w:tl2br w:val="nil"/>
                    <w:tr2bl w:val="nil"/>
                  </w:tcBorders>
                  <w:shd w:val="clear" w:color="auto" w:fill="auto"/>
                  <w:vAlign w:val="center"/>
                </w:tcPr>
                <w:p>
                  <w:pPr>
                    <w:spacing w:line="240" w:lineRule="auto"/>
                    <w:ind w:firstLine="0" w:firstLineChars="0"/>
                    <w:jc w:val="center"/>
                    <w:rPr>
                      <w:rFonts w:cs="Times New Roman"/>
                      <w:b/>
                      <w:sz w:val="21"/>
                      <w:szCs w:val="21"/>
                    </w:rPr>
                  </w:pPr>
                  <w:r>
                    <w:rPr>
                      <w:rFonts w:hint="eastAsia" w:cs="Times New Roman"/>
                      <w:b/>
                      <w:sz w:val="21"/>
                      <w:szCs w:val="21"/>
                    </w:rPr>
                    <w:t>贡献值</w:t>
                  </w:r>
                </w:p>
              </w:tc>
              <w:tc>
                <w:tcPr>
                  <w:tcW w:w="939" w:type="dxa"/>
                  <w:vMerge w:val="restar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预测值</w:t>
                  </w:r>
                </w:p>
              </w:tc>
              <w:tc>
                <w:tcPr>
                  <w:tcW w:w="842" w:type="dxa"/>
                  <w:vMerge w:val="restar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标准限值</w:t>
                  </w:r>
                </w:p>
              </w:tc>
              <w:tc>
                <w:tcPr>
                  <w:tcW w:w="643" w:type="dxa"/>
                  <w:vMerge w:val="restart"/>
                  <w:tcBorders>
                    <w:tl2br w:val="nil"/>
                    <w:tr2bl w:val="nil"/>
                  </w:tcBorders>
                  <w:shd w:val="clear" w:color="auto" w:fill="auto"/>
                  <w:vAlign w:val="center"/>
                </w:tcPr>
                <w:p>
                  <w:pPr>
                    <w:spacing w:line="240" w:lineRule="auto"/>
                    <w:ind w:firstLine="0" w:firstLineChars="0"/>
                    <w:jc w:val="center"/>
                    <w:rPr>
                      <w:rFonts w:cs="Times New Roman"/>
                      <w:sz w:val="21"/>
                      <w:szCs w:val="21"/>
                    </w:rPr>
                  </w:pPr>
                  <w:r>
                    <w:rPr>
                      <w:rFonts w:cs="Times New Roman"/>
                      <w:b/>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99"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sz w:val="21"/>
                      <w:szCs w:val="21"/>
                    </w:rPr>
                  </w:pPr>
                </w:p>
              </w:tc>
              <w:tc>
                <w:tcPr>
                  <w:tcW w:w="770"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X</w:t>
                  </w:r>
                </w:p>
              </w:tc>
              <w:tc>
                <w:tcPr>
                  <w:tcW w:w="756"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Y</w:t>
                  </w:r>
                </w:p>
              </w:tc>
              <w:tc>
                <w:tcPr>
                  <w:tcW w:w="842"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bCs/>
                      <w:sz w:val="21"/>
                      <w:szCs w:val="21"/>
                    </w:rPr>
                  </w:pPr>
                  <w:r>
                    <w:rPr>
                      <w:rFonts w:cs="Times New Roman"/>
                      <w:b/>
                      <w:bCs/>
                      <w:sz w:val="21"/>
                      <w:szCs w:val="21"/>
                    </w:rPr>
                    <w:t>Z</w:t>
                  </w:r>
                </w:p>
              </w:tc>
              <w:tc>
                <w:tcPr>
                  <w:tcW w:w="780"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sz w:val="21"/>
                      <w:szCs w:val="21"/>
                    </w:rPr>
                  </w:pPr>
                </w:p>
              </w:tc>
              <w:tc>
                <w:tcPr>
                  <w:tcW w:w="927"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sz w:val="21"/>
                      <w:szCs w:val="21"/>
                    </w:rPr>
                  </w:pPr>
                </w:p>
              </w:tc>
              <w:tc>
                <w:tcPr>
                  <w:tcW w:w="951"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sz w:val="21"/>
                      <w:szCs w:val="21"/>
                    </w:rPr>
                  </w:pPr>
                </w:p>
              </w:tc>
              <w:tc>
                <w:tcPr>
                  <w:tcW w:w="939"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sz w:val="21"/>
                      <w:szCs w:val="21"/>
                    </w:rPr>
                  </w:pPr>
                </w:p>
              </w:tc>
              <w:tc>
                <w:tcPr>
                  <w:tcW w:w="842"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sz w:val="21"/>
                      <w:szCs w:val="21"/>
                    </w:rPr>
                  </w:pPr>
                </w:p>
              </w:tc>
              <w:tc>
                <w:tcPr>
                  <w:tcW w:w="643"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99" w:type="dxa"/>
                  <w:tcBorders>
                    <w:top w:val="single" w:color="auto" w:sz="12" w:space="0"/>
                  </w:tcBorders>
                  <w:shd w:val="clear" w:color="auto" w:fill="auto"/>
                  <w:vAlign w:val="center"/>
                </w:tcPr>
                <w:p>
                  <w:pPr>
                    <w:spacing w:line="240" w:lineRule="auto"/>
                    <w:ind w:firstLine="0" w:firstLineChars="0"/>
                    <w:jc w:val="center"/>
                    <w:rPr>
                      <w:sz w:val="21"/>
                    </w:rPr>
                  </w:pPr>
                  <w:r>
                    <w:rPr>
                      <w:rFonts w:cs="Arial"/>
                      <w:sz w:val="21"/>
                    </w:rPr>
                    <w:t>东侧</w:t>
                  </w:r>
                </w:p>
              </w:tc>
              <w:tc>
                <w:tcPr>
                  <w:tcW w:w="770" w:type="dxa"/>
                  <w:tcBorders>
                    <w:top w:val="single" w:color="auto" w:sz="12" w:space="0"/>
                  </w:tcBorders>
                  <w:shd w:val="clear" w:color="auto" w:fill="auto"/>
                  <w:vAlign w:val="center"/>
                </w:tcPr>
                <w:p>
                  <w:pPr>
                    <w:spacing w:line="240" w:lineRule="auto"/>
                    <w:ind w:firstLine="0" w:firstLineChars="0"/>
                    <w:jc w:val="center"/>
                    <w:rPr>
                      <w:sz w:val="18"/>
                      <w:szCs w:val="18"/>
                    </w:rPr>
                  </w:pPr>
                  <w:r>
                    <w:rPr>
                      <w:rFonts w:cs="Arial"/>
                      <w:sz w:val="18"/>
                      <w:szCs w:val="18"/>
                    </w:rPr>
                    <w:t>296</w:t>
                  </w:r>
                </w:p>
              </w:tc>
              <w:tc>
                <w:tcPr>
                  <w:tcW w:w="756" w:type="dxa"/>
                  <w:tcBorders>
                    <w:top w:val="single" w:color="auto" w:sz="12" w:space="0"/>
                  </w:tcBorders>
                  <w:shd w:val="clear" w:color="auto" w:fill="auto"/>
                  <w:vAlign w:val="center"/>
                </w:tcPr>
                <w:p>
                  <w:pPr>
                    <w:spacing w:line="240" w:lineRule="auto"/>
                    <w:ind w:firstLine="0" w:firstLineChars="0"/>
                    <w:jc w:val="center"/>
                    <w:rPr>
                      <w:sz w:val="18"/>
                      <w:szCs w:val="18"/>
                    </w:rPr>
                  </w:pPr>
                  <w:r>
                    <w:rPr>
                      <w:rFonts w:cs="Arial"/>
                      <w:sz w:val="18"/>
                      <w:szCs w:val="18"/>
                    </w:rPr>
                    <w:t>292.1</w:t>
                  </w:r>
                </w:p>
              </w:tc>
              <w:tc>
                <w:tcPr>
                  <w:tcW w:w="842" w:type="dxa"/>
                  <w:tcBorders>
                    <w:top w:val="single" w:color="auto" w:sz="12" w:space="0"/>
                  </w:tcBorders>
                  <w:shd w:val="clear" w:color="auto" w:fill="auto"/>
                  <w:vAlign w:val="center"/>
                </w:tcPr>
                <w:p>
                  <w:pPr>
                    <w:spacing w:line="240" w:lineRule="auto"/>
                    <w:ind w:firstLine="0" w:firstLineChars="0"/>
                    <w:jc w:val="center"/>
                    <w:rPr>
                      <w:sz w:val="18"/>
                      <w:szCs w:val="18"/>
                    </w:rPr>
                  </w:pPr>
                  <w:r>
                    <w:rPr>
                      <w:rFonts w:cs="Arial"/>
                      <w:sz w:val="18"/>
                      <w:szCs w:val="18"/>
                    </w:rPr>
                    <w:t>522</w:t>
                  </w:r>
                </w:p>
              </w:tc>
              <w:tc>
                <w:tcPr>
                  <w:tcW w:w="780" w:type="dxa"/>
                  <w:tcBorders>
                    <w:top w:val="single" w:color="auto" w:sz="12" w:space="0"/>
                  </w:tcBorders>
                  <w:shd w:val="clear" w:color="auto" w:fill="auto"/>
                  <w:vAlign w:val="center"/>
                </w:tcPr>
                <w:p>
                  <w:pPr>
                    <w:spacing w:line="240" w:lineRule="auto"/>
                    <w:ind w:firstLine="0" w:firstLineChars="0"/>
                    <w:jc w:val="center"/>
                    <w:rPr>
                      <w:sz w:val="21"/>
                    </w:rPr>
                  </w:pPr>
                  <w:r>
                    <w:rPr>
                      <w:rFonts w:cs="Arial"/>
                      <w:sz w:val="21"/>
                    </w:rPr>
                    <w:t>昼间</w:t>
                  </w:r>
                </w:p>
              </w:tc>
              <w:tc>
                <w:tcPr>
                  <w:tcW w:w="927" w:type="dxa"/>
                  <w:tcBorders>
                    <w:top w:val="single" w:color="auto" w:sz="12" w:space="0"/>
                  </w:tcBorders>
                  <w:shd w:val="clear" w:color="auto" w:fill="auto"/>
                  <w:vAlign w:val="center"/>
                </w:tcPr>
                <w:p>
                  <w:pPr>
                    <w:spacing w:line="240" w:lineRule="auto"/>
                    <w:ind w:firstLine="0" w:firstLineChars="0"/>
                    <w:jc w:val="center"/>
                    <w:rPr>
                      <w:sz w:val="21"/>
                      <w:szCs w:val="21"/>
                    </w:rPr>
                  </w:pPr>
                  <w:r>
                    <w:rPr>
                      <w:rFonts w:hint="eastAsia" w:cs="Times New Roman"/>
                      <w:sz w:val="21"/>
                      <w:szCs w:val="21"/>
                    </w:rPr>
                    <w:t>52.6</w:t>
                  </w:r>
                </w:p>
              </w:tc>
              <w:tc>
                <w:tcPr>
                  <w:tcW w:w="951" w:type="dxa"/>
                  <w:tcBorders>
                    <w:top w:val="single" w:color="auto" w:sz="12" w:space="0"/>
                  </w:tcBorders>
                  <w:shd w:val="clear" w:color="auto" w:fill="auto"/>
                  <w:vAlign w:val="center"/>
                </w:tcPr>
                <w:p>
                  <w:pPr>
                    <w:spacing w:line="240" w:lineRule="auto"/>
                    <w:ind w:firstLine="0" w:firstLineChars="0"/>
                    <w:jc w:val="center"/>
                    <w:rPr>
                      <w:sz w:val="21"/>
                      <w:szCs w:val="21"/>
                    </w:rPr>
                  </w:pPr>
                  <w:r>
                    <w:rPr>
                      <w:rFonts w:hint="eastAsia"/>
                      <w:sz w:val="21"/>
                      <w:szCs w:val="21"/>
                    </w:rPr>
                    <w:t>1.9</w:t>
                  </w:r>
                </w:p>
              </w:tc>
              <w:tc>
                <w:tcPr>
                  <w:tcW w:w="939" w:type="dxa"/>
                  <w:tcBorders>
                    <w:top w:val="single" w:color="auto" w:sz="12" w:space="0"/>
                  </w:tcBorders>
                  <w:shd w:val="clear" w:color="auto" w:fill="auto"/>
                  <w:vAlign w:val="center"/>
                </w:tcPr>
                <w:p>
                  <w:pPr>
                    <w:spacing w:line="240" w:lineRule="auto"/>
                    <w:ind w:firstLine="0" w:firstLineChars="0"/>
                    <w:jc w:val="center"/>
                    <w:rPr>
                      <w:sz w:val="21"/>
                      <w:szCs w:val="21"/>
                    </w:rPr>
                  </w:pPr>
                  <w:r>
                    <w:rPr>
                      <w:rFonts w:hint="eastAsia"/>
                      <w:sz w:val="21"/>
                      <w:szCs w:val="21"/>
                    </w:rPr>
                    <w:t>52.6</w:t>
                  </w:r>
                </w:p>
              </w:tc>
              <w:tc>
                <w:tcPr>
                  <w:tcW w:w="842" w:type="dxa"/>
                  <w:tcBorders>
                    <w:top w:val="single" w:color="auto" w:sz="12" w:space="0"/>
                  </w:tcBorders>
                  <w:shd w:val="clear" w:color="auto" w:fill="auto"/>
                  <w:vAlign w:val="center"/>
                </w:tcPr>
                <w:p>
                  <w:pPr>
                    <w:spacing w:line="240" w:lineRule="auto"/>
                    <w:ind w:firstLine="0" w:firstLineChars="0"/>
                    <w:jc w:val="center"/>
                    <w:rPr>
                      <w:sz w:val="21"/>
                    </w:rPr>
                  </w:pPr>
                  <w:r>
                    <w:rPr>
                      <w:rFonts w:hint="eastAsia"/>
                      <w:sz w:val="21"/>
                    </w:rPr>
                    <w:t>60</w:t>
                  </w:r>
                </w:p>
              </w:tc>
              <w:tc>
                <w:tcPr>
                  <w:tcW w:w="643" w:type="dxa"/>
                  <w:tcBorders>
                    <w:top w:val="single" w:color="auto" w:sz="12" w:space="0"/>
                  </w:tcBorders>
                  <w:shd w:val="clear" w:color="auto" w:fill="auto"/>
                  <w:vAlign w:val="center"/>
                </w:tcPr>
                <w:p>
                  <w:pPr>
                    <w:spacing w:line="240" w:lineRule="auto"/>
                    <w:ind w:firstLine="0" w:firstLineChars="0"/>
                    <w:jc w:val="center"/>
                    <w:rPr>
                      <w:sz w:val="21"/>
                    </w:rPr>
                  </w:pPr>
                  <w:r>
                    <w:rPr>
                      <w:rFonts w:cs="Arial"/>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exact"/>
                <w:jc w:val="center"/>
              </w:trPr>
              <w:tc>
                <w:tcPr>
                  <w:tcW w:w="799"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南侧</w:t>
                  </w:r>
                </w:p>
              </w:tc>
              <w:tc>
                <w:tcPr>
                  <w:tcW w:w="770"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235.1</w:t>
                  </w:r>
                </w:p>
              </w:tc>
              <w:tc>
                <w:tcPr>
                  <w:tcW w:w="756"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-497.3</w:t>
                  </w:r>
                </w:p>
              </w:tc>
              <w:tc>
                <w:tcPr>
                  <w:tcW w:w="842"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522.3</w:t>
                  </w:r>
                </w:p>
              </w:tc>
              <w:tc>
                <w:tcPr>
                  <w:tcW w:w="780"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昼间</w:t>
                  </w:r>
                </w:p>
              </w:tc>
              <w:tc>
                <w:tcPr>
                  <w:tcW w:w="927" w:type="dxa"/>
                  <w:tcBorders>
                    <w:tl2br w:val="nil"/>
                    <w:tr2bl w:val="nil"/>
                  </w:tcBorders>
                  <w:shd w:val="clear" w:color="auto" w:fill="auto"/>
                  <w:vAlign w:val="center"/>
                </w:tcPr>
                <w:p>
                  <w:pPr>
                    <w:spacing w:line="240" w:lineRule="auto"/>
                    <w:ind w:firstLine="0" w:firstLineChars="0"/>
                    <w:jc w:val="center"/>
                    <w:rPr>
                      <w:sz w:val="21"/>
                      <w:szCs w:val="21"/>
                    </w:rPr>
                  </w:pPr>
                  <w:r>
                    <w:rPr>
                      <w:rFonts w:hint="eastAsia" w:cs="Times New Roman"/>
                      <w:sz w:val="21"/>
                      <w:szCs w:val="21"/>
                    </w:rPr>
                    <w:t>52.2</w:t>
                  </w:r>
                </w:p>
              </w:tc>
              <w:tc>
                <w:tcPr>
                  <w:tcW w:w="951" w:type="dxa"/>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0</w:t>
                  </w:r>
                </w:p>
              </w:tc>
              <w:tc>
                <w:tcPr>
                  <w:tcW w:w="939" w:type="dxa"/>
                  <w:tcBorders>
                    <w:tl2br w:val="nil"/>
                    <w:tr2bl w:val="nil"/>
                  </w:tcBorders>
                  <w:shd w:val="clear" w:color="auto" w:fill="auto"/>
                  <w:vAlign w:val="center"/>
                </w:tcPr>
                <w:p>
                  <w:pPr>
                    <w:spacing w:line="240" w:lineRule="auto"/>
                    <w:ind w:firstLine="0" w:firstLineChars="0"/>
                    <w:jc w:val="center"/>
                    <w:rPr>
                      <w:sz w:val="21"/>
                      <w:szCs w:val="21"/>
                    </w:rPr>
                  </w:pPr>
                  <w:r>
                    <w:rPr>
                      <w:rFonts w:hint="eastAsia"/>
                      <w:sz w:val="21"/>
                      <w:szCs w:val="21"/>
                    </w:rPr>
                    <w:t>52.2</w:t>
                  </w:r>
                </w:p>
              </w:tc>
              <w:tc>
                <w:tcPr>
                  <w:tcW w:w="842" w:type="dxa"/>
                  <w:tcBorders>
                    <w:tl2br w:val="nil"/>
                    <w:tr2bl w:val="nil"/>
                  </w:tcBorders>
                  <w:shd w:val="clear" w:color="auto" w:fill="auto"/>
                  <w:vAlign w:val="center"/>
                </w:tcPr>
                <w:p>
                  <w:pPr>
                    <w:spacing w:line="240" w:lineRule="auto"/>
                    <w:ind w:firstLine="0" w:firstLineChars="0"/>
                    <w:jc w:val="center"/>
                    <w:rPr>
                      <w:sz w:val="21"/>
                    </w:rPr>
                  </w:pPr>
                  <w:r>
                    <w:rPr>
                      <w:rFonts w:hint="eastAsia"/>
                      <w:sz w:val="21"/>
                    </w:rPr>
                    <w:t>60</w:t>
                  </w:r>
                </w:p>
              </w:tc>
              <w:tc>
                <w:tcPr>
                  <w:tcW w:w="643"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exact"/>
                <w:jc w:val="center"/>
              </w:trPr>
              <w:tc>
                <w:tcPr>
                  <w:tcW w:w="799"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西侧</w:t>
                  </w:r>
                </w:p>
              </w:tc>
              <w:tc>
                <w:tcPr>
                  <w:tcW w:w="770"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-313.3</w:t>
                  </w:r>
                </w:p>
              </w:tc>
              <w:tc>
                <w:tcPr>
                  <w:tcW w:w="756"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309.6</w:t>
                  </w:r>
                </w:p>
              </w:tc>
              <w:tc>
                <w:tcPr>
                  <w:tcW w:w="842"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522.4</w:t>
                  </w:r>
                </w:p>
              </w:tc>
              <w:tc>
                <w:tcPr>
                  <w:tcW w:w="780"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昼间</w:t>
                  </w:r>
                </w:p>
              </w:tc>
              <w:tc>
                <w:tcPr>
                  <w:tcW w:w="927" w:type="dxa"/>
                  <w:tcBorders>
                    <w:tl2br w:val="nil"/>
                    <w:tr2bl w:val="nil"/>
                  </w:tcBorders>
                  <w:shd w:val="clear" w:color="auto" w:fill="auto"/>
                  <w:vAlign w:val="center"/>
                </w:tcPr>
                <w:p>
                  <w:pPr>
                    <w:spacing w:line="240" w:lineRule="auto"/>
                    <w:ind w:firstLine="0" w:firstLineChars="0"/>
                    <w:jc w:val="center"/>
                    <w:rPr>
                      <w:sz w:val="21"/>
                    </w:rPr>
                  </w:pPr>
                  <w:r>
                    <w:rPr>
                      <w:rFonts w:hint="eastAsia" w:cs="Times New Roman"/>
                      <w:sz w:val="21"/>
                      <w:szCs w:val="21"/>
                    </w:rPr>
                    <w:t>53.4</w:t>
                  </w:r>
                </w:p>
              </w:tc>
              <w:tc>
                <w:tcPr>
                  <w:tcW w:w="951" w:type="dxa"/>
                  <w:tcBorders>
                    <w:tl2br w:val="nil"/>
                    <w:tr2bl w:val="nil"/>
                  </w:tcBorders>
                  <w:shd w:val="clear" w:color="auto" w:fill="auto"/>
                  <w:vAlign w:val="center"/>
                </w:tcPr>
                <w:p>
                  <w:pPr>
                    <w:spacing w:line="240" w:lineRule="auto"/>
                    <w:ind w:firstLine="0" w:firstLineChars="0"/>
                    <w:jc w:val="center"/>
                    <w:rPr>
                      <w:sz w:val="21"/>
                    </w:rPr>
                  </w:pPr>
                  <w:r>
                    <w:rPr>
                      <w:rFonts w:hint="eastAsia"/>
                      <w:sz w:val="21"/>
                    </w:rPr>
                    <w:t>30.9</w:t>
                  </w:r>
                </w:p>
              </w:tc>
              <w:tc>
                <w:tcPr>
                  <w:tcW w:w="939" w:type="dxa"/>
                  <w:tcBorders>
                    <w:tl2br w:val="nil"/>
                    <w:tr2bl w:val="nil"/>
                  </w:tcBorders>
                  <w:shd w:val="clear" w:color="auto" w:fill="auto"/>
                  <w:vAlign w:val="center"/>
                </w:tcPr>
                <w:p>
                  <w:pPr>
                    <w:spacing w:line="240" w:lineRule="auto"/>
                    <w:ind w:firstLine="0" w:firstLineChars="0"/>
                    <w:jc w:val="center"/>
                    <w:rPr>
                      <w:sz w:val="21"/>
                    </w:rPr>
                  </w:pPr>
                  <w:r>
                    <w:rPr>
                      <w:rFonts w:hint="eastAsia"/>
                      <w:sz w:val="21"/>
                    </w:rPr>
                    <w:t>53.4</w:t>
                  </w:r>
                </w:p>
              </w:tc>
              <w:tc>
                <w:tcPr>
                  <w:tcW w:w="842" w:type="dxa"/>
                  <w:tcBorders>
                    <w:tl2br w:val="nil"/>
                    <w:tr2bl w:val="nil"/>
                  </w:tcBorders>
                  <w:shd w:val="clear" w:color="auto" w:fill="auto"/>
                  <w:vAlign w:val="center"/>
                </w:tcPr>
                <w:p>
                  <w:pPr>
                    <w:spacing w:line="240" w:lineRule="auto"/>
                    <w:ind w:firstLine="0" w:firstLineChars="0"/>
                    <w:jc w:val="center"/>
                    <w:rPr>
                      <w:sz w:val="21"/>
                    </w:rPr>
                  </w:pPr>
                  <w:r>
                    <w:rPr>
                      <w:rFonts w:hint="eastAsia"/>
                      <w:sz w:val="21"/>
                    </w:rPr>
                    <w:t>60</w:t>
                  </w:r>
                </w:p>
              </w:tc>
              <w:tc>
                <w:tcPr>
                  <w:tcW w:w="643"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exact"/>
                <w:jc w:val="center"/>
              </w:trPr>
              <w:tc>
                <w:tcPr>
                  <w:tcW w:w="799"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北侧</w:t>
                  </w:r>
                </w:p>
              </w:tc>
              <w:tc>
                <w:tcPr>
                  <w:tcW w:w="770"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-258.4</w:t>
                  </w:r>
                </w:p>
              </w:tc>
              <w:tc>
                <w:tcPr>
                  <w:tcW w:w="756"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423</w:t>
                  </w:r>
                </w:p>
              </w:tc>
              <w:tc>
                <w:tcPr>
                  <w:tcW w:w="842" w:type="dxa"/>
                  <w:tcBorders>
                    <w:tl2br w:val="nil"/>
                    <w:tr2bl w:val="nil"/>
                  </w:tcBorders>
                  <w:shd w:val="clear" w:color="auto" w:fill="auto"/>
                  <w:vAlign w:val="center"/>
                </w:tcPr>
                <w:p>
                  <w:pPr>
                    <w:spacing w:line="240" w:lineRule="auto"/>
                    <w:ind w:firstLine="0" w:firstLineChars="0"/>
                    <w:jc w:val="center"/>
                    <w:rPr>
                      <w:sz w:val="18"/>
                      <w:szCs w:val="18"/>
                    </w:rPr>
                  </w:pPr>
                  <w:r>
                    <w:rPr>
                      <w:rFonts w:cs="Arial"/>
                      <w:sz w:val="18"/>
                      <w:szCs w:val="18"/>
                    </w:rPr>
                    <w:t>521.5</w:t>
                  </w:r>
                </w:p>
              </w:tc>
              <w:tc>
                <w:tcPr>
                  <w:tcW w:w="780"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昼间</w:t>
                  </w:r>
                </w:p>
              </w:tc>
              <w:tc>
                <w:tcPr>
                  <w:tcW w:w="927" w:type="dxa"/>
                  <w:tcBorders>
                    <w:tl2br w:val="nil"/>
                    <w:tr2bl w:val="nil"/>
                  </w:tcBorders>
                  <w:shd w:val="clear" w:color="auto" w:fill="auto"/>
                  <w:vAlign w:val="center"/>
                </w:tcPr>
                <w:p>
                  <w:pPr>
                    <w:spacing w:line="240" w:lineRule="auto"/>
                    <w:ind w:firstLine="0" w:firstLineChars="0"/>
                    <w:jc w:val="center"/>
                    <w:rPr>
                      <w:sz w:val="21"/>
                    </w:rPr>
                  </w:pPr>
                  <w:r>
                    <w:rPr>
                      <w:rFonts w:hint="eastAsia" w:cs="Times New Roman"/>
                      <w:sz w:val="21"/>
                      <w:szCs w:val="21"/>
                    </w:rPr>
                    <w:t>52.7</w:t>
                  </w:r>
                </w:p>
              </w:tc>
              <w:tc>
                <w:tcPr>
                  <w:tcW w:w="951" w:type="dxa"/>
                  <w:tcBorders>
                    <w:tl2br w:val="nil"/>
                    <w:tr2bl w:val="nil"/>
                  </w:tcBorders>
                  <w:shd w:val="clear" w:color="auto" w:fill="auto"/>
                  <w:vAlign w:val="center"/>
                </w:tcPr>
                <w:p>
                  <w:pPr>
                    <w:spacing w:line="240" w:lineRule="auto"/>
                    <w:ind w:firstLine="0" w:firstLineChars="0"/>
                    <w:jc w:val="center"/>
                    <w:rPr>
                      <w:sz w:val="21"/>
                    </w:rPr>
                  </w:pPr>
                  <w:r>
                    <w:rPr>
                      <w:rFonts w:hint="eastAsia"/>
                      <w:sz w:val="21"/>
                    </w:rPr>
                    <w:t>44.1</w:t>
                  </w:r>
                </w:p>
              </w:tc>
              <w:tc>
                <w:tcPr>
                  <w:tcW w:w="939" w:type="dxa"/>
                  <w:tcBorders>
                    <w:tl2br w:val="nil"/>
                    <w:tr2bl w:val="nil"/>
                  </w:tcBorders>
                  <w:shd w:val="clear" w:color="auto" w:fill="auto"/>
                  <w:vAlign w:val="center"/>
                </w:tcPr>
                <w:p>
                  <w:pPr>
                    <w:spacing w:line="240" w:lineRule="auto"/>
                    <w:ind w:firstLine="0" w:firstLineChars="0"/>
                    <w:jc w:val="center"/>
                    <w:rPr>
                      <w:sz w:val="21"/>
                    </w:rPr>
                  </w:pPr>
                  <w:r>
                    <w:rPr>
                      <w:rFonts w:hint="eastAsia"/>
                      <w:sz w:val="21"/>
                    </w:rPr>
                    <w:t>53.3</w:t>
                  </w:r>
                </w:p>
              </w:tc>
              <w:tc>
                <w:tcPr>
                  <w:tcW w:w="842" w:type="dxa"/>
                  <w:tcBorders>
                    <w:tl2br w:val="nil"/>
                    <w:tr2bl w:val="nil"/>
                  </w:tcBorders>
                  <w:shd w:val="clear" w:color="auto" w:fill="auto"/>
                  <w:vAlign w:val="center"/>
                </w:tcPr>
                <w:p>
                  <w:pPr>
                    <w:spacing w:line="240" w:lineRule="auto"/>
                    <w:ind w:firstLine="0" w:firstLineChars="0"/>
                    <w:jc w:val="center"/>
                    <w:rPr>
                      <w:sz w:val="21"/>
                    </w:rPr>
                  </w:pPr>
                  <w:r>
                    <w:rPr>
                      <w:rFonts w:hint="eastAsia"/>
                      <w:sz w:val="21"/>
                    </w:rPr>
                    <w:t>60</w:t>
                  </w:r>
                </w:p>
              </w:tc>
              <w:tc>
                <w:tcPr>
                  <w:tcW w:w="643" w:type="dxa"/>
                  <w:tcBorders>
                    <w:tl2br w:val="nil"/>
                    <w:tr2bl w:val="nil"/>
                  </w:tcBorders>
                  <w:shd w:val="clear" w:color="auto" w:fill="auto"/>
                  <w:vAlign w:val="center"/>
                </w:tcPr>
                <w:p>
                  <w:pPr>
                    <w:spacing w:line="240" w:lineRule="auto"/>
                    <w:ind w:firstLine="0" w:firstLineChars="0"/>
                    <w:jc w:val="center"/>
                    <w:rPr>
                      <w:sz w:val="21"/>
                    </w:rPr>
                  </w:pPr>
                  <w:r>
                    <w:rPr>
                      <w:rFonts w:cs="Arial"/>
                      <w:sz w:val="21"/>
                    </w:rPr>
                    <w:t>达标</w:t>
                  </w:r>
                </w:p>
              </w:tc>
            </w:tr>
          </w:tbl>
          <w:p>
            <w:pPr>
              <w:spacing w:before="120" w:beforeLines="50" w:line="240" w:lineRule="auto"/>
              <w:ind w:firstLine="0" w:firstLineChars="0"/>
              <w:jc w:val="center"/>
              <w:rPr>
                <w:rFonts w:cs="Times New Roman"/>
              </w:rPr>
            </w:pPr>
            <w:r>
              <w:rPr>
                <w:rFonts w:hint="eastAsia"/>
                <w:b/>
                <w:bCs/>
                <w:sz w:val="21"/>
                <w:szCs w:val="21"/>
              </w:rPr>
              <w:t xml:space="preserve">         表4-7  工业企业声环境保护目标噪声预测结果与达标分析表</w:t>
            </w:r>
            <w:bookmarkStart w:id="11" w:name="PT_8"/>
            <w:r>
              <w:rPr>
                <w:rFonts w:hint="eastAsia"/>
                <w:b/>
                <w:bCs/>
                <w:sz w:val="21"/>
                <w:szCs w:val="21"/>
              </w:rPr>
              <w:t xml:space="preserve">  单位：</w:t>
            </w:r>
            <w:r>
              <w:rPr>
                <w:rFonts w:cs="Times New Roman"/>
                <w:b/>
                <w:sz w:val="21"/>
                <w:szCs w:val="21"/>
              </w:rPr>
              <w:t>dB(A)</w:t>
            </w:r>
          </w:p>
          <w:bookmarkEnd w:id="11"/>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6"/>
              <w:gridCol w:w="930"/>
              <w:gridCol w:w="677"/>
              <w:gridCol w:w="604"/>
              <w:gridCol w:w="543"/>
              <w:gridCol w:w="460"/>
              <w:gridCol w:w="615"/>
              <w:gridCol w:w="640"/>
              <w:gridCol w:w="628"/>
              <w:gridCol w:w="649"/>
              <w:gridCol w:w="563"/>
              <w:gridCol w:w="619"/>
              <w:gridCol w:w="456"/>
              <w:gridCol w:w="5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313" w:type="dxa"/>
                  <w:vMerge w:val="restart"/>
                  <w:tcBorders>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序号</w:t>
                  </w:r>
                </w:p>
              </w:tc>
              <w:tc>
                <w:tcPr>
                  <w:tcW w:w="819" w:type="dxa"/>
                  <w:vMerge w:val="restart"/>
                  <w:tcBorders>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声环境保护目标名称</w:t>
                  </w:r>
                </w:p>
              </w:tc>
              <w:tc>
                <w:tcPr>
                  <w:tcW w:w="1128" w:type="dxa"/>
                  <w:gridSpan w:val="2"/>
                  <w:tcBorders>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噪声</w:t>
                  </w:r>
                </w:p>
                <w:p>
                  <w:pPr>
                    <w:spacing w:line="240" w:lineRule="auto"/>
                    <w:ind w:firstLine="0" w:firstLineChars="0"/>
                    <w:jc w:val="center"/>
                    <w:rPr>
                      <w:rFonts w:cs="Times New Roman"/>
                      <w:b/>
                      <w:sz w:val="18"/>
                      <w:szCs w:val="18"/>
                    </w:rPr>
                  </w:pPr>
                  <w:r>
                    <w:rPr>
                      <w:rFonts w:cs="Times New Roman"/>
                      <w:b/>
                      <w:sz w:val="18"/>
                      <w:szCs w:val="18"/>
                    </w:rPr>
                    <w:t>现状值</w:t>
                  </w:r>
                </w:p>
              </w:tc>
              <w:tc>
                <w:tcPr>
                  <w:tcW w:w="883" w:type="dxa"/>
                  <w:gridSpan w:val="2"/>
                  <w:tcBorders>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噪声</w:t>
                  </w:r>
                </w:p>
                <w:p>
                  <w:pPr>
                    <w:spacing w:line="240" w:lineRule="auto"/>
                    <w:ind w:firstLine="0" w:firstLineChars="0"/>
                    <w:jc w:val="center"/>
                    <w:rPr>
                      <w:rFonts w:cs="Times New Roman"/>
                      <w:b/>
                      <w:sz w:val="18"/>
                      <w:szCs w:val="18"/>
                    </w:rPr>
                  </w:pPr>
                  <w:r>
                    <w:rPr>
                      <w:rFonts w:cs="Times New Roman"/>
                      <w:b/>
                      <w:sz w:val="18"/>
                      <w:szCs w:val="18"/>
                    </w:rPr>
                    <w:t>标准</w:t>
                  </w:r>
                </w:p>
              </w:tc>
              <w:tc>
                <w:tcPr>
                  <w:tcW w:w="1106" w:type="dxa"/>
                  <w:gridSpan w:val="2"/>
                  <w:tcBorders>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噪声</w:t>
                  </w:r>
                </w:p>
                <w:p>
                  <w:pPr>
                    <w:spacing w:line="240" w:lineRule="auto"/>
                    <w:ind w:firstLine="0" w:firstLineChars="0"/>
                    <w:jc w:val="center"/>
                    <w:rPr>
                      <w:rFonts w:cs="Times New Roman"/>
                      <w:b/>
                      <w:sz w:val="18"/>
                      <w:szCs w:val="18"/>
                    </w:rPr>
                  </w:pPr>
                  <w:r>
                    <w:rPr>
                      <w:rFonts w:cs="Times New Roman"/>
                      <w:b/>
                      <w:sz w:val="18"/>
                      <w:szCs w:val="18"/>
                    </w:rPr>
                    <w:t>贡献值</w:t>
                  </w:r>
                </w:p>
              </w:tc>
              <w:tc>
                <w:tcPr>
                  <w:tcW w:w="1125" w:type="dxa"/>
                  <w:gridSpan w:val="2"/>
                  <w:tcBorders>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噪声</w:t>
                  </w:r>
                </w:p>
                <w:p>
                  <w:pPr>
                    <w:spacing w:line="240" w:lineRule="auto"/>
                    <w:ind w:firstLine="0" w:firstLineChars="0"/>
                    <w:jc w:val="center"/>
                    <w:rPr>
                      <w:rFonts w:cs="Times New Roman"/>
                      <w:b/>
                      <w:sz w:val="18"/>
                      <w:szCs w:val="18"/>
                    </w:rPr>
                  </w:pPr>
                  <w:r>
                    <w:rPr>
                      <w:rFonts w:cs="Times New Roman"/>
                      <w:b/>
                      <w:sz w:val="18"/>
                      <w:szCs w:val="18"/>
                    </w:rPr>
                    <w:t>预测值</w:t>
                  </w:r>
                </w:p>
              </w:tc>
              <w:tc>
                <w:tcPr>
                  <w:tcW w:w="1041" w:type="dxa"/>
                  <w:gridSpan w:val="2"/>
                  <w:tcBorders>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较现状</w:t>
                  </w:r>
                </w:p>
                <w:p>
                  <w:pPr>
                    <w:spacing w:line="240" w:lineRule="auto"/>
                    <w:ind w:firstLine="0" w:firstLineChars="0"/>
                    <w:jc w:val="center"/>
                    <w:rPr>
                      <w:rFonts w:cs="Times New Roman"/>
                      <w:b/>
                      <w:sz w:val="18"/>
                      <w:szCs w:val="18"/>
                    </w:rPr>
                  </w:pPr>
                  <w:r>
                    <w:rPr>
                      <w:rFonts w:cs="Times New Roman"/>
                      <w:b/>
                      <w:sz w:val="18"/>
                      <w:szCs w:val="18"/>
                    </w:rPr>
                    <w:t>增量</w:t>
                  </w:r>
                </w:p>
              </w:tc>
              <w:tc>
                <w:tcPr>
                  <w:tcW w:w="850" w:type="dxa"/>
                  <w:gridSpan w:val="2"/>
                  <w:tcBorders>
                    <w:tl2br w:val="nil"/>
                    <w:tr2bl w:val="nil"/>
                  </w:tcBorders>
                  <w:shd w:val="clear" w:color="auto" w:fill="auto"/>
                  <w:vAlign w:val="center"/>
                </w:tcPr>
                <w:p>
                  <w:pPr>
                    <w:spacing w:line="240" w:lineRule="auto"/>
                    <w:ind w:firstLine="0" w:firstLineChars="0"/>
                    <w:jc w:val="center"/>
                    <w:rPr>
                      <w:rFonts w:cs="Times New Roman"/>
                      <w:b/>
                      <w:sz w:val="18"/>
                      <w:szCs w:val="18"/>
                    </w:rPr>
                  </w:pPr>
                  <w:r>
                    <w:rPr>
                      <w:rFonts w:hint="eastAsia" w:cs="Times New Roman"/>
                      <w:b/>
                      <w:sz w:val="18"/>
                      <w:szCs w:val="18"/>
                    </w:rPr>
                    <w:t>达标</w:t>
                  </w:r>
                </w:p>
                <w:p>
                  <w:pPr>
                    <w:spacing w:line="240" w:lineRule="auto"/>
                    <w:ind w:firstLine="0" w:firstLineChars="0"/>
                    <w:jc w:val="center"/>
                    <w:rPr>
                      <w:rFonts w:cs="Times New Roman"/>
                      <w:b/>
                      <w:sz w:val="18"/>
                      <w:szCs w:val="18"/>
                    </w:rPr>
                  </w:pPr>
                  <w:r>
                    <w:rPr>
                      <w:rFonts w:hint="eastAsia" w:cs="Times New Roman"/>
                      <w:b/>
                      <w:sz w:val="18"/>
                      <w:szCs w:val="18"/>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13"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p>
              </w:tc>
              <w:tc>
                <w:tcPr>
                  <w:tcW w:w="819" w:type="dxa"/>
                  <w:vMerge w:val="continue"/>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p>
              </w:tc>
              <w:tc>
                <w:tcPr>
                  <w:tcW w:w="596"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昼</w:t>
                  </w:r>
                </w:p>
                <w:p>
                  <w:pPr>
                    <w:spacing w:line="240" w:lineRule="auto"/>
                    <w:ind w:firstLine="0" w:firstLineChars="0"/>
                    <w:jc w:val="center"/>
                    <w:rPr>
                      <w:rFonts w:cs="Times New Roman"/>
                      <w:b/>
                      <w:sz w:val="18"/>
                      <w:szCs w:val="18"/>
                    </w:rPr>
                  </w:pPr>
                  <w:r>
                    <w:rPr>
                      <w:rFonts w:cs="Times New Roman"/>
                      <w:b/>
                      <w:sz w:val="18"/>
                      <w:szCs w:val="18"/>
                    </w:rPr>
                    <w:t>间</w:t>
                  </w:r>
                </w:p>
              </w:tc>
              <w:tc>
                <w:tcPr>
                  <w:tcW w:w="532"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夜</w:t>
                  </w:r>
                </w:p>
                <w:p>
                  <w:pPr>
                    <w:spacing w:line="240" w:lineRule="auto"/>
                    <w:ind w:firstLine="0" w:firstLineChars="0"/>
                    <w:jc w:val="center"/>
                    <w:rPr>
                      <w:rFonts w:cs="Times New Roman"/>
                      <w:b/>
                      <w:sz w:val="18"/>
                      <w:szCs w:val="18"/>
                    </w:rPr>
                  </w:pPr>
                  <w:r>
                    <w:rPr>
                      <w:rFonts w:cs="Times New Roman"/>
                      <w:b/>
                      <w:sz w:val="18"/>
                      <w:szCs w:val="18"/>
                    </w:rPr>
                    <w:t>间</w:t>
                  </w:r>
                </w:p>
              </w:tc>
              <w:tc>
                <w:tcPr>
                  <w:tcW w:w="478"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昼间</w:t>
                  </w:r>
                </w:p>
              </w:tc>
              <w:tc>
                <w:tcPr>
                  <w:tcW w:w="405"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夜间</w:t>
                  </w:r>
                </w:p>
              </w:tc>
              <w:tc>
                <w:tcPr>
                  <w:tcW w:w="542"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昼</w:t>
                  </w:r>
                </w:p>
                <w:p>
                  <w:pPr>
                    <w:spacing w:line="240" w:lineRule="auto"/>
                    <w:ind w:firstLine="0" w:firstLineChars="0"/>
                    <w:jc w:val="center"/>
                    <w:rPr>
                      <w:rFonts w:cs="Times New Roman"/>
                      <w:b/>
                      <w:sz w:val="18"/>
                      <w:szCs w:val="18"/>
                    </w:rPr>
                  </w:pPr>
                  <w:r>
                    <w:rPr>
                      <w:rFonts w:cs="Times New Roman"/>
                      <w:b/>
                      <w:sz w:val="18"/>
                      <w:szCs w:val="18"/>
                    </w:rPr>
                    <w:t>间</w:t>
                  </w:r>
                </w:p>
              </w:tc>
              <w:tc>
                <w:tcPr>
                  <w:tcW w:w="564"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夜</w:t>
                  </w:r>
                </w:p>
                <w:p>
                  <w:pPr>
                    <w:spacing w:line="240" w:lineRule="auto"/>
                    <w:ind w:firstLine="0" w:firstLineChars="0"/>
                    <w:jc w:val="center"/>
                    <w:rPr>
                      <w:rFonts w:cs="Times New Roman"/>
                      <w:b/>
                      <w:sz w:val="18"/>
                      <w:szCs w:val="18"/>
                    </w:rPr>
                  </w:pPr>
                  <w:r>
                    <w:rPr>
                      <w:rFonts w:cs="Times New Roman"/>
                      <w:b/>
                      <w:sz w:val="18"/>
                      <w:szCs w:val="18"/>
                    </w:rPr>
                    <w:t>间</w:t>
                  </w:r>
                </w:p>
              </w:tc>
              <w:tc>
                <w:tcPr>
                  <w:tcW w:w="553"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昼</w:t>
                  </w:r>
                </w:p>
                <w:p>
                  <w:pPr>
                    <w:spacing w:line="240" w:lineRule="auto"/>
                    <w:ind w:firstLine="0" w:firstLineChars="0"/>
                    <w:jc w:val="center"/>
                    <w:rPr>
                      <w:rFonts w:cs="Times New Roman"/>
                      <w:b/>
                      <w:sz w:val="18"/>
                      <w:szCs w:val="18"/>
                    </w:rPr>
                  </w:pPr>
                  <w:r>
                    <w:rPr>
                      <w:rFonts w:cs="Times New Roman"/>
                      <w:b/>
                      <w:sz w:val="18"/>
                      <w:szCs w:val="18"/>
                    </w:rPr>
                    <w:t>间</w:t>
                  </w:r>
                </w:p>
              </w:tc>
              <w:tc>
                <w:tcPr>
                  <w:tcW w:w="572"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夜</w:t>
                  </w:r>
                </w:p>
                <w:p>
                  <w:pPr>
                    <w:spacing w:line="240" w:lineRule="auto"/>
                    <w:ind w:firstLine="0" w:firstLineChars="0"/>
                    <w:jc w:val="center"/>
                    <w:rPr>
                      <w:rFonts w:cs="Times New Roman"/>
                      <w:b/>
                      <w:sz w:val="18"/>
                      <w:szCs w:val="18"/>
                    </w:rPr>
                  </w:pPr>
                  <w:r>
                    <w:rPr>
                      <w:rFonts w:cs="Times New Roman"/>
                      <w:b/>
                      <w:sz w:val="18"/>
                      <w:szCs w:val="18"/>
                    </w:rPr>
                    <w:t>间</w:t>
                  </w:r>
                </w:p>
              </w:tc>
              <w:tc>
                <w:tcPr>
                  <w:tcW w:w="496"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昼间</w:t>
                  </w:r>
                </w:p>
              </w:tc>
              <w:tc>
                <w:tcPr>
                  <w:tcW w:w="545"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夜</w:t>
                  </w:r>
                </w:p>
                <w:p>
                  <w:pPr>
                    <w:spacing w:line="240" w:lineRule="auto"/>
                    <w:ind w:firstLine="0" w:firstLineChars="0"/>
                    <w:jc w:val="center"/>
                    <w:rPr>
                      <w:rFonts w:cs="Times New Roman"/>
                      <w:b/>
                      <w:sz w:val="18"/>
                      <w:szCs w:val="18"/>
                    </w:rPr>
                  </w:pPr>
                  <w:r>
                    <w:rPr>
                      <w:rFonts w:cs="Times New Roman"/>
                      <w:b/>
                      <w:sz w:val="18"/>
                      <w:szCs w:val="18"/>
                    </w:rPr>
                    <w:t>间</w:t>
                  </w:r>
                </w:p>
              </w:tc>
              <w:tc>
                <w:tcPr>
                  <w:tcW w:w="402"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昼间</w:t>
                  </w:r>
                </w:p>
              </w:tc>
              <w:tc>
                <w:tcPr>
                  <w:tcW w:w="448" w:type="dxa"/>
                  <w:tcBorders>
                    <w:bottom w:val="single" w:color="auto" w:sz="12" w:space="0"/>
                    <w:tl2br w:val="nil"/>
                    <w:tr2bl w:val="nil"/>
                  </w:tcBorders>
                  <w:shd w:val="clear" w:color="auto" w:fill="auto"/>
                  <w:vAlign w:val="center"/>
                </w:tcPr>
                <w:p>
                  <w:pPr>
                    <w:spacing w:line="240" w:lineRule="auto"/>
                    <w:ind w:firstLine="0" w:firstLineChars="0"/>
                    <w:jc w:val="center"/>
                    <w:rPr>
                      <w:rFonts w:cs="Times New Roman"/>
                      <w:b/>
                      <w:sz w:val="18"/>
                      <w:szCs w:val="18"/>
                    </w:rPr>
                  </w:pPr>
                  <w:r>
                    <w:rPr>
                      <w:rFonts w:cs="Times New Roman"/>
                      <w:b/>
                      <w:sz w:val="18"/>
                      <w:szCs w:val="18"/>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4" w:hRule="atLeast"/>
                <w:jc w:val="center"/>
              </w:trPr>
              <w:tc>
                <w:tcPr>
                  <w:tcW w:w="313" w:type="dxa"/>
                  <w:tcBorders>
                    <w:top w:val="single" w:color="auto" w:sz="12" w:space="0"/>
                  </w:tcBorders>
                  <w:shd w:val="clear" w:color="auto" w:fill="auto"/>
                  <w:vAlign w:val="center"/>
                </w:tcPr>
                <w:p>
                  <w:pPr>
                    <w:spacing w:line="240" w:lineRule="auto"/>
                    <w:ind w:firstLine="0" w:firstLineChars="0"/>
                    <w:jc w:val="center"/>
                    <w:rPr>
                      <w:sz w:val="18"/>
                      <w:szCs w:val="18"/>
                    </w:rPr>
                  </w:pPr>
                  <w:r>
                    <w:rPr>
                      <w:rFonts w:cs="Arial"/>
                      <w:sz w:val="18"/>
                      <w:szCs w:val="18"/>
                    </w:rPr>
                    <w:t>1</w:t>
                  </w:r>
                </w:p>
              </w:tc>
              <w:tc>
                <w:tcPr>
                  <w:tcW w:w="819"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cs="Arial"/>
                      <w:sz w:val="18"/>
                      <w:szCs w:val="18"/>
                    </w:rPr>
                    <w:t>新郭</w:t>
                  </w:r>
                </w:p>
                <w:p>
                  <w:pPr>
                    <w:spacing w:line="240" w:lineRule="auto"/>
                    <w:ind w:firstLine="0" w:firstLineChars="0"/>
                    <w:jc w:val="center"/>
                    <w:rPr>
                      <w:sz w:val="18"/>
                      <w:szCs w:val="18"/>
                    </w:rPr>
                  </w:pPr>
                  <w:r>
                    <w:rPr>
                      <w:rFonts w:hint="eastAsia" w:cs="Arial"/>
                      <w:sz w:val="18"/>
                      <w:szCs w:val="18"/>
                    </w:rPr>
                    <w:t>行</w:t>
                  </w:r>
                  <w:r>
                    <w:rPr>
                      <w:rFonts w:cs="Arial"/>
                      <w:sz w:val="18"/>
                      <w:szCs w:val="18"/>
                    </w:rPr>
                    <w:t>村</w:t>
                  </w:r>
                </w:p>
              </w:tc>
              <w:tc>
                <w:tcPr>
                  <w:tcW w:w="596"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cs="Arial"/>
                      <w:sz w:val="18"/>
                      <w:szCs w:val="18"/>
                    </w:rPr>
                    <w:t>51.3</w:t>
                  </w:r>
                </w:p>
              </w:tc>
              <w:tc>
                <w:tcPr>
                  <w:tcW w:w="532"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cs="Arial"/>
                      <w:sz w:val="18"/>
                      <w:szCs w:val="18"/>
                    </w:rPr>
                    <w:t>43.8</w:t>
                  </w:r>
                </w:p>
              </w:tc>
              <w:tc>
                <w:tcPr>
                  <w:tcW w:w="478"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55</w:t>
                  </w:r>
                </w:p>
              </w:tc>
              <w:tc>
                <w:tcPr>
                  <w:tcW w:w="405"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45</w:t>
                  </w:r>
                </w:p>
              </w:tc>
              <w:tc>
                <w:tcPr>
                  <w:tcW w:w="542"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32</w:t>
                  </w:r>
                </w:p>
              </w:tc>
              <w:tc>
                <w:tcPr>
                  <w:tcW w:w="564"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w:t>
                  </w:r>
                </w:p>
              </w:tc>
              <w:tc>
                <w:tcPr>
                  <w:tcW w:w="553"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51.4</w:t>
                  </w:r>
                </w:p>
              </w:tc>
              <w:tc>
                <w:tcPr>
                  <w:tcW w:w="572"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w:t>
                  </w:r>
                </w:p>
              </w:tc>
              <w:tc>
                <w:tcPr>
                  <w:tcW w:w="496"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0.1</w:t>
                  </w:r>
                </w:p>
              </w:tc>
              <w:tc>
                <w:tcPr>
                  <w:tcW w:w="545"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w:t>
                  </w:r>
                </w:p>
              </w:tc>
              <w:tc>
                <w:tcPr>
                  <w:tcW w:w="402"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cs="Arial"/>
                      <w:sz w:val="18"/>
                      <w:szCs w:val="18"/>
                    </w:rPr>
                    <w:t>达标</w:t>
                  </w:r>
                </w:p>
              </w:tc>
              <w:tc>
                <w:tcPr>
                  <w:tcW w:w="448" w:type="dxa"/>
                  <w:tcBorders>
                    <w:top w:val="single" w:color="auto" w:sz="12" w:space="0"/>
                  </w:tcBorders>
                  <w:shd w:val="clear" w:color="auto" w:fill="auto"/>
                  <w:vAlign w:val="center"/>
                </w:tcPr>
                <w:p>
                  <w:pPr>
                    <w:spacing w:line="240" w:lineRule="auto"/>
                    <w:ind w:firstLine="0" w:firstLineChars="0"/>
                    <w:jc w:val="center"/>
                    <w:rPr>
                      <w:rFonts w:cs="Arial"/>
                      <w:sz w:val="18"/>
                      <w:szCs w:val="18"/>
                    </w:rPr>
                  </w:pPr>
                  <w:r>
                    <w:rPr>
                      <w:rFonts w:hint="eastAsia" w:cs="Arial"/>
                      <w:sz w:val="18"/>
                      <w:szCs w:val="18"/>
                    </w:rPr>
                    <w:t>/</w:t>
                  </w:r>
                </w:p>
              </w:tc>
            </w:tr>
          </w:tbl>
          <w:p>
            <w:pPr>
              <w:ind w:firstLine="480"/>
            </w:pPr>
            <w:r>
              <w:t>由</w:t>
            </w:r>
            <w:r>
              <w:rPr>
                <w:rFonts w:hint="eastAsia"/>
              </w:rPr>
              <w:t>表4-6</w:t>
            </w:r>
            <w:r>
              <w:t>知</w:t>
            </w:r>
            <w:r>
              <w:rPr>
                <w:rFonts w:hint="eastAsia"/>
              </w:rPr>
              <w:t>，</w:t>
            </w:r>
            <w:r>
              <w:t>正常工况下，项目厂界噪声满足《工业企业厂界环境噪声排放标准》</w:t>
            </w:r>
            <w:r>
              <w:rPr>
                <w:rFonts w:hint="eastAsia"/>
              </w:rPr>
              <w:t>（</w:t>
            </w:r>
            <w:r>
              <w:t>GB12348</w:t>
            </w:r>
            <w:r>
              <w:rPr>
                <w:rFonts w:hint="eastAsia"/>
              </w:rPr>
              <w:t>-</w:t>
            </w:r>
            <w:r>
              <w:t>2008</w:t>
            </w:r>
            <w:r>
              <w:rPr>
                <w:rFonts w:hint="eastAsia"/>
              </w:rPr>
              <w:t>）2</w:t>
            </w:r>
            <w:r>
              <w:t>类标准</w:t>
            </w:r>
            <w:r>
              <w:rPr>
                <w:rFonts w:hint="eastAsia"/>
              </w:rPr>
              <w:t>；</w:t>
            </w:r>
            <w:r>
              <w:t>由</w:t>
            </w:r>
            <w:r>
              <w:rPr>
                <w:rFonts w:hint="eastAsia"/>
              </w:rPr>
              <w:t>表4-7</w:t>
            </w:r>
            <w:r>
              <w:t>知</w:t>
            </w:r>
            <w:r>
              <w:rPr>
                <w:rFonts w:hint="eastAsia"/>
              </w:rPr>
              <w:t>，</w:t>
            </w:r>
            <w:r>
              <w:t>正常工况下，项目</w:t>
            </w:r>
            <w:r>
              <w:rPr>
                <w:rFonts w:hint="eastAsia"/>
              </w:rPr>
              <w:t>声环境保护目标-新郭行村</w:t>
            </w:r>
            <w:r>
              <w:t>噪声满足</w:t>
            </w:r>
            <w:r>
              <w:rPr>
                <w:rFonts w:hint="eastAsia"/>
              </w:rPr>
              <w:t>《声环境质量标准》（GB3096-2008）1</w:t>
            </w:r>
            <w:r>
              <w:t>类标准</w:t>
            </w:r>
          </w:p>
          <w:p>
            <w:pPr>
              <w:ind w:firstLine="480"/>
            </w:pPr>
            <w:r>
              <w:t>项目正常工况声环境影响</w:t>
            </w:r>
            <w:r>
              <w:rPr>
                <w:rFonts w:hint="eastAsia"/>
              </w:rPr>
              <w:t>贡献值等值线图</w:t>
            </w:r>
            <w:r>
              <w:t>见</w:t>
            </w:r>
            <w:r>
              <w:rPr>
                <w:rFonts w:hint="eastAsia"/>
              </w:rPr>
              <w:t>附图13。</w:t>
            </w:r>
          </w:p>
          <w:p>
            <w:pPr>
              <w:pStyle w:val="5"/>
            </w:pPr>
            <w:r>
              <w:rPr>
                <w:rFonts w:hint="eastAsia"/>
              </w:rPr>
              <w:t>4.4.7声监测计划</w:t>
            </w:r>
          </w:p>
          <w:p>
            <w:pPr>
              <w:ind w:firstLine="480"/>
            </w:pPr>
            <w:r>
              <w:rPr>
                <w:rFonts w:hint="eastAsia"/>
              </w:rPr>
              <w:t>依据《排污单位自行监测技术指南  总则》（HJ819-2017）制定本项目噪声监测计划，详见表4-8。</w:t>
            </w:r>
          </w:p>
          <w:p>
            <w:pPr>
              <w:spacing w:line="240" w:lineRule="auto"/>
              <w:ind w:firstLine="0" w:firstLineChars="0"/>
              <w:jc w:val="center"/>
              <w:rPr>
                <w:b/>
                <w:bCs/>
                <w:sz w:val="21"/>
                <w:szCs w:val="21"/>
              </w:rPr>
            </w:pPr>
            <w:r>
              <w:rPr>
                <w:rFonts w:hint="eastAsia"/>
                <w:b/>
                <w:bCs/>
                <w:sz w:val="21"/>
                <w:szCs w:val="21"/>
              </w:rPr>
              <w:t>表4-8  噪声监测计划</w:t>
            </w:r>
          </w:p>
          <w:tbl>
            <w:tblPr>
              <w:tblStyle w:val="35"/>
              <w:tblW w:w="5000" w:type="pct"/>
              <w:tblInd w:w="0" w:type="dxa"/>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Layout w:type="fixed"/>
              <w:tblCellMar>
                <w:top w:w="0" w:type="dxa"/>
                <w:left w:w="108" w:type="dxa"/>
                <w:bottom w:w="0" w:type="dxa"/>
                <w:right w:w="108" w:type="dxa"/>
              </w:tblCellMar>
            </w:tblPr>
            <w:tblGrid>
              <w:gridCol w:w="1133"/>
              <w:gridCol w:w="1199"/>
              <w:gridCol w:w="1906"/>
              <w:gridCol w:w="2125"/>
              <w:gridCol w:w="1886"/>
            </w:tblGrid>
            <w:tr>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c>
                <w:tcPr>
                  <w:tcW w:w="694" w:type="dxa"/>
                  <w:tcBorders>
                    <w:tl2br w:val="nil"/>
                    <w:tr2bl w:val="nil"/>
                  </w:tcBorders>
                  <w:vAlign w:val="center"/>
                </w:tcPr>
                <w:p>
                  <w:pPr>
                    <w:pStyle w:val="33"/>
                    <w:spacing w:after="0" w:line="240" w:lineRule="auto"/>
                    <w:ind w:left="0" w:leftChars="0" w:firstLine="0" w:firstLineChars="0"/>
                    <w:jc w:val="center"/>
                    <w:rPr>
                      <w:b/>
                      <w:bCs/>
                      <w:sz w:val="21"/>
                    </w:rPr>
                  </w:pPr>
                  <w:r>
                    <w:rPr>
                      <w:rFonts w:hint="eastAsia"/>
                      <w:b/>
                      <w:bCs/>
                      <w:sz w:val="21"/>
                    </w:rPr>
                    <w:t>阶段</w:t>
                  </w:r>
                </w:p>
              </w:tc>
              <w:tc>
                <w:tcPr>
                  <w:tcW w:w="735" w:type="dxa"/>
                  <w:tcBorders>
                    <w:tl2br w:val="nil"/>
                    <w:tr2bl w:val="nil"/>
                  </w:tcBorders>
                  <w:vAlign w:val="center"/>
                </w:tcPr>
                <w:p>
                  <w:pPr>
                    <w:pStyle w:val="33"/>
                    <w:spacing w:after="0" w:line="240" w:lineRule="auto"/>
                    <w:ind w:left="0" w:leftChars="0" w:firstLine="0" w:firstLineChars="0"/>
                    <w:jc w:val="center"/>
                    <w:rPr>
                      <w:b/>
                      <w:bCs/>
                      <w:sz w:val="21"/>
                    </w:rPr>
                  </w:pPr>
                  <w:r>
                    <w:rPr>
                      <w:rFonts w:hint="eastAsia"/>
                      <w:b/>
                      <w:bCs/>
                      <w:sz w:val="21"/>
                    </w:rPr>
                    <w:t>类别</w:t>
                  </w:r>
                </w:p>
              </w:tc>
              <w:tc>
                <w:tcPr>
                  <w:tcW w:w="1168" w:type="dxa"/>
                  <w:tcBorders>
                    <w:tl2br w:val="nil"/>
                    <w:tr2bl w:val="nil"/>
                  </w:tcBorders>
                  <w:vAlign w:val="center"/>
                </w:tcPr>
                <w:p>
                  <w:pPr>
                    <w:pStyle w:val="33"/>
                    <w:spacing w:after="0" w:line="240" w:lineRule="auto"/>
                    <w:ind w:left="0" w:leftChars="0" w:firstLine="0" w:firstLineChars="0"/>
                    <w:jc w:val="center"/>
                    <w:rPr>
                      <w:b/>
                      <w:bCs/>
                      <w:sz w:val="21"/>
                    </w:rPr>
                  </w:pPr>
                  <w:r>
                    <w:rPr>
                      <w:rFonts w:hint="eastAsia"/>
                      <w:b/>
                      <w:bCs/>
                      <w:sz w:val="21"/>
                    </w:rPr>
                    <w:t>监测点位</w:t>
                  </w:r>
                </w:p>
              </w:tc>
              <w:tc>
                <w:tcPr>
                  <w:tcW w:w="1302" w:type="dxa"/>
                  <w:tcBorders>
                    <w:tl2br w:val="nil"/>
                    <w:tr2bl w:val="nil"/>
                  </w:tcBorders>
                  <w:vAlign w:val="center"/>
                </w:tcPr>
                <w:p>
                  <w:pPr>
                    <w:pStyle w:val="33"/>
                    <w:spacing w:after="0" w:line="240" w:lineRule="auto"/>
                    <w:ind w:left="0" w:leftChars="0" w:firstLine="0" w:firstLineChars="0"/>
                    <w:jc w:val="center"/>
                    <w:rPr>
                      <w:b/>
                      <w:bCs/>
                      <w:sz w:val="21"/>
                    </w:rPr>
                  </w:pPr>
                  <w:r>
                    <w:rPr>
                      <w:rFonts w:hint="eastAsia"/>
                      <w:b/>
                      <w:bCs/>
                      <w:sz w:val="21"/>
                    </w:rPr>
                    <w:t>监测项目</w:t>
                  </w:r>
                </w:p>
              </w:tc>
              <w:tc>
                <w:tcPr>
                  <w:tcW w:w="1156" w:type="dxa"/>
                  <w:tcBorders>
                    <w:tl2br w:val="nil"/>
                    <w:tr2bl w:val="nil"/>
                  </w:tcBorders>
                  <w:vAlign w:val="center"/>
                </w:tcPr>
                <w:p>
                  <w:pPr>
                    <w:pStyle w:val="33"/>
                    <w:spacing w:after="0" w:line="240" w:lineRule="auto"/>
                    <w:ind w:left="0" w:leftChars="0" w:firstLine="0" w:firstLineChars="0"/>
                    <w:jc w:val="center"/>
                    <w:rPr>
                      <w:b/>
                      <w:bCs/>
                      <w:sz w:val="21"/>
                    </w:rPr>
                  </w:pPr>
                  <w:r>
                    <w:rPr>
                      <w:rFonts w:hint="eastAsia"/>
                      <w:b/>
                      <w:bCs/>
                      <w:sz w:val="21"/>
                    </w:rPr>
                    <w:t>监测频率</w:t>
                  </w:r>
                </w:p>
              </w:tc>
            </w:tr>
            <w:tr>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c>
                <w:tcPr>
                  <w:tcW w:w="694" w:type="dxa"/>
                  <w:tcBorders>
                    <w:tl2br w:val="nil"/>
                    <w:tr2bl w:val="nil"/>
                  </w:tcBorders>
                  <w:vAlign w:val="center"/>
                </w:tcPr>
                <w:p>
                  <w:pPr>
                    <w:pStyle w:val="33"/>
                    <w:spacing w:after="0" w:line="240" w:lineRule="auto"/>
                    <w:ind w:left="0" w:leftChars="0" w:firstLine="0" w:firstLineChars="0"/>
                    <w:jc w:val="center"/>
                    <w:rPr>
                      <w:sz w:val="21"/>
                    </w:rPr>
                  </w:pPr>
                  <w:r>
                    <w:rPr>
                      <w:rFonts w:hint="eastAsia"/>
                      <w:sz w:val="21"/>
                    </w:rPr>
                    <w:t>运营期</w:t>
                  </w:r>
                </w:p>
              </w:tc>
              <w:tc>
                <w:tcPr>
                  <w:tcW w:w="735" w:type="dxa"/>
                  <w:tcBorders>
                    <w:tl2br w:val="nil"/>
                    <w:tr2bl w:val="nil"/>
                  </w:tcBorders>
                  <w:vAlign w:val="center"/>
                </w:tcPr>
                <w:p>
                  <w:pPr>
                    <w:pStyle w:val="33"/>
                    <w:spacing w:after="0" w:line="240" w:lineRule="auto"/>
                    <w:ind w:left="0" w:leftChars="0" w:firstLine="0" w:firstLineChars="0"/>
                    <w:jc w:val="center"/>
                    <w:rPr>
                      <w:sz w:val="21"/>
                    </w:rPr>
                  </w:pPr>
                  <w:r>
                    <w:rPr>
                      <w:rFonts w:hint="eastAsia"/>
                      <w:sz w:val="21"/>
                    </w:rPr>
                    <w:t>噪声</w:t>
                  </w:r>
                </w:p>
              </w:tc>
              <w:tc>
                <w:tcPr>
                  <w:tcW w:w="1168" w:type="dxa"/>
                  <w:tcBorders>
                    <w:tl2br w:val="nil"/>
                    <w:tr2bl w:val="nil"/>
                  </w:tcBorders>
                  <w:vAlign w:val="center"/>
                </w:tcPr>
                <w:p>
                  <w:pPr>
                    <w:pStyle w:val="33"/>
                    <w:spacing w:after="0" w:line="240" w:lineRule="auto"/>
                    <w:ind w:left="0" w:leftChars="0" w:firstLine="0" w:firstLineChars="0"/>
                    <w:jc w:val="center"/>
                    <w:rPr>
                      <w:sz w:val="21"/>
                    </w:rPr>
                  </w:pPr>
                  <w:r>
                    <w:rPr>
                      <w:rFonts w:hint="eastAsia"/>
                      <w:sz w:val="21"/>
                    </w:rPr>
                    <w:t>厂界四周</w:t>
                  </w:r>
                </w:p>
              </w:tc>
              <w:tc>
                <w:tcPr>
                  <w:tcW w:w="1302" w:type="dxa"/>
                  <w:tcBorders>
                    <w:tl2br w:val="nil"/>
                    <w:tr2bl w:val="nil"/>
                  </w:tcBorders>
                  <w:vAlign w:val="center"/>
                </w:tcPr>
                <w:p>
                  <w:pPr>
                    <w:pStyle w:val="33"/>
                    <w:spacing w:after="0" w:line="240" w:lineRule="auto"/>
                    <w:ind w:left="0" w:leftChars="0" w:firstLine="0" w:firstLineChars="0"/>
                    <w:jc w:val="center"/>
                    <w:rPr>
                      <w:sz w:val="21"/>
                    </w:rPr>
                  </w:pPr>
                  <w:r>
                    <w:rPr>
                      <w:rFonts w:hint="eastAsia"/>
                      <w:sz w:val="21"/>
                    </w:rPr>
                    <w:t>等效连续A声级</w:t>
                  </w:r>
                </w:p>
              </w:tc>
              <w:tc>
                <w:tcPr>
                  <w:tcW w:w="1156" w:type="dxa"/>
                  <w:tcBorders>
                    <w:tl2br w:val="nil"/>
                    <w:tr2bl w:val="nil"/>
                  </w:tcBorders>
                  <w:vAlign w:val="center"/>
                </w:tcPr>
                <w:p>
                  <w:pPr>
                    <w:pStyle w:val="33"/>
                    <w:spacing w:after="0" w:line="240" w:lineRule="auto"/>
                    <w:ind w:left="0" w:leftChars="0" w:firstLine="0" w:firstLineChars="0"/>
                    <w:jc w:val="center"/>
                    <w:rPr>
                      <w:sz w:val="21"/>
                    </w:rPr>
                  </w:pPr>
                  <w:r>
                    <w:rPr>
                      <w:rFonts w:hint="eastAsia"/>
                      <w:sz w:val="21"/>
                    </w:rPr>
                    <w:t>1次/季度昼监测</w:t>
                  </w:r>
                </w:p>
              </w:tc>
            </w:tr>
          </w:tbl>
          <w:p>
            <w:pPr>
              <w:ind w:firstLine="480"/>
            </w:pPr>
          </w:p>
        </w:tc>
      </w:tr>
    </w:tbl>
    <w:p>
      <w:pPr>
        <w:ind w:firstLine="480"/>
        <w:sectPr>
          <w:pgSz w:w="11907" w:h="16840"/>
          <w:pgMar w:top="1701" w:right="1531" w:bottom="1701" w:left="1531" w:header="851" w:footer="851" w:gutter="0"/>
          <w:cols w:space="720" w:num="1"/>
          <w:docGrid w:linePitch="312" w:charSpace="0"/>
        </w:sectPr>
      </w:pPr>
    </w:p>
    <w:tbl>
      <w:tblPr>
        <w:tblStyle w:val="3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3"/>
        <w:gridCol w:w="84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69" w:hRule="atLeast"/>
          <w:jc w:val="center"/>
        </w:trPr>
        <w:tc>
          <w:tcPr>
            <w:tcW w:w="443" w:type="dxa"/>
            <w:tcMar>
              <w:left w:w="28" w:type="dxa"/>
              <w:right w:w="28" w:type="dxa"/>
            </w:tcMar>
            <w:vAlign w:val="center"/>
          </w:tcPr>
          <w:p>
            <w:pPr>
              <w:adjustRightInd w:val="0"/>
              <w:snapToGrid w:val="0"/>
              <w:ind w:firstLine="0" w:firstLineChars="0"/>
              <w:jc w:val="center"/>
              <w:rPr>
                <w:rFonts w:cs="Times New Roman"/>
                <w:b/>
                <w:szCs w:val="21"/>
              </w:rPr>
            </w:pPr>
          </w:p>
        </w:tc>
        <w:tc>
          <w:tcPr>
            <w:tcW w:w="8465" w:type="dxa"/>
          </w:tcPr>
          <w:p>
            <w:pPr>
              <w:pStyle w:val="4"/>
            </w:pPr>
            <w:r>
              <w:rPr>
                <w:rFonts w:hint="eastAsia"/>
              </w:rPr>
              <w:t>4.5固体废弃物环境影响和治理措施</w:t>
            </w:r>
          </w:p>
          <w:p>
            <w:pPr>
              <w:pStyle w:val="5"/>
            </w:pPr>
            <w:r>
              <w:rPr>
                <w:rFonts w:hint="eastAsia"/>
              </w:rPr>
              <w:t>4.5.1固体废物核算及治理措施</w:t>
            </w:r>
          </w:p>
          <w:p>
            <w:pPr>
              <w:ind w:firstLine="482"/>
              <w:rPr>
                <w:b/>
                <w:bCs/>
              </w:rPr>
            </w:pPr>
            <w:r>
              <w:rPr>
                <w:rFonts w:hint="eastAsia"/>
                <w:b/>
                <w:bCs/>
              </w:rPr>
              <w:t>1.生活垃圾</w:t>
            </w:r>
          </w:p>
          <w:p>
            <w:pPr>
              <w:ind w:firstLine="480"/>
            </w:pPr>
            <w:r>
              <w:rPr>
                <w:rFonts w:hint="eastAsia"/>
              </w:rPr>
              <w:t>本项目新增30名员工，年工作300天，每人每天生活垃圾产生按0.5kg计算，则年产生量为4.5t/a。</w:t>
            </w:r>
          </w:p>
          <w:p>
            <w:pPr>
              <w:ind w:firstLine="480"/>
            </w:pPr>
            <w:r>
              <w:rPr>
                <w:rFonts w:hint="eastAsia"/>
              </w:rPr>
              <w:t>治理措施：设生活垃圾桶，生活垃圾经收集后送至当地政府指定的地点统一处理。</w:t>
            </w:r>
          </w:p>
          <w:p>
            <w:pPr>
              <w:ind w:firstLine="482"/>
              <w:rPr>
                <w:b/>
                <w:bCs/>
              </w:rPr>
            </w:pPr>
            <w:r>
              <w:rPr>
                <w:rFonts w:hint="eastAsia"/>
                <w:b/>
                <w:bCs/>
              </w:rPr>
              <w:t>2.危险废物</w:t>
            </w:r>
          </w:p>
          <w:p>
            <w:pPr>
              <w:ind w:firstLine="480"/>
              <w:rPr>
                <w:rFonts w:hint="eastAsia"/>
              </w:rPr>
            </w:pPr>
            <w:r>
              <w:t>在生产设备检修、以及生产管理过程会产生废机油</w:t>
            </w:r>
            <w:r>
              <w:rPr>
                <w:rFonts w:hint="eastAsia"/>
              </w:rPr>
              <w:t>、废液压油</w:t>
            </w:r>
            <w:r>
              <w:rPr>
                <w:rFonts w:hint="eastAsia"/>
                <w:lang w:eastAsia="zh-CN"/>
              </w:rPr>
              <w:t>、</w:t>
            </w:r>
            <w:r>
              <w:rPr>
                <w:rFonts w:hint="eastAsia"/>
              </w:rPr>
              <w:t>废油桶</w:t>
            </w:r>
            <w:r>
              <w:rPr>
                <w:rFonts w:hint="eastAsia"/>
                <w:lang w:eastAsia="zh-CN"/>
              </w:rPr>
              <w:t>、</w:t>
            </w:r>
            <w:r>
              <w:rPr>
                <w:rFonts w:hint="eastAsia"/>
              </w:rPr>
              <w:t>更换过程中产生的废手套、废棉纱</w:t>
            </w:r>
            <w:r>
              <w:rPr>
                <w:rFonts w:hint="eastAsia"/>
                <w:lang w:val="en-US" w:eastAsia="zh-CN"/>
              </w:rPr>
              <w:t>和粘有废矿物油的废布袋</w:t>
            </w:r>
            <w:r>
              <w:rPr>
                <w:rFonts w:hint="eastAsia"/>
              </w:rPr>
              <w:t>。</w:t>
            </w:r>
          </w:p>
          <w:p>
            <w:pPr>
              <w:ind w:firstLine="480"/>
              <w:rPr>
                <w:rFonts w:hint="eastAsia"/>
              </w:rPr>
            </w:pPr>
            <w:r>
              <w:t>废机油</w:t>
            </w:r>
            <w:r>
              <w:rPr>
                <w:rFonts w:hint="eastAsia"/>
              </w:rPr>
              <w:t>、废液压油和废油桶</w:t>
            </w:r>
            <w:r>
              <w:t>属于</w:t>
            </w:r>
            <w:r>
              <w:rPr>
                <w:rFonts w:hint="eastAsia"/>
              </w:rPr>
              <w:t>《国家危险废物名录（2021版）》中</w:t>
            </w:r>
            <w:r>
              <w:t>HW08</w:t>
            </w:r>
            <w:r>
              <w:rPr>
                <w:rFonts w:hint="eastAsia"/>
              </w:rPr>
              <w:t>废矿物油与含矿物油废物。</w:t>
            </w:r>
            <w:r>
              <w:t>废机油产生量约0.</w:t>
            </w:r>
            <w:r>
              <w:rPr>
                <w:rFonts w:hint="eastAsia"/>
              </w:rPr>
              <w:t>1</w:t>
            </w:r>
            <w:r>
              <w:t>t/a</w:t>
            </w:r>
            <w:r>
              <w:rPr>
                <w:rFonts w:hint="eastAsia"/>
              </w:rPr>
              <w:t>；液压打包机每两年更换一次液压油，一次更换量为0</w:t>
            </w:r>
            <w:r>
              <w:t>.64t</w:t>
            </w:r>
            <w:r>
              <w:rPr>
                <w:rFonts w:hint="eastAsia"/>
              </w:rPr>
              <w:t>；油桶产生量为</w:t>
            </w:r>
            <w:r>
              <w:t>5</w:t>
            </w:r>
            <w:r>
              <w:rPr>
                <w:rFonts w:hint="eastAsia"/>
              </w:rPr>
              <w:t>桶/年。</w:t>
            </w:r>
          </w:p>
          <w:p>
            <w:pPr>
              <w:ind w:firstLine="480"/>
              <w:rPr>
                <w:rFonts w:hint="eastAsia"/>
              </w:rPr>
            </w:pPr>
            <w:r>
              <w:rPr>
                <w:rFonts w:hint="eastAsia"/>
              </w:rPr>
              <w:t>废手套、废棉纱</w:t>
            </w:r>
            <w:r>
              <w:t>属于</w:t>
            </w:r>
            <w:r>
              <w:rPr>
                <w:rFonts w:hint="eastAsia"/>
              </w:rPr>
              <w:t>《国家危险废物名录（2021版）》中</w:t>
            </w:r>
            <w:r>
              <w:t>HW</w:t>
            </w:r>
            <w:r>
              <w:rPr>
                <w:rFonts w:hint="eastAsia"/>
              </w:rPr>
              <w:t>49其他废物，产生量为0.01t/a。</w:t>
            </w:r>
          </w:p>
          <w:p>
            <w:pPr>
              <w:pStyle w:val="2"/>
              <w:rPr>
                <w:color w:val="auto"/>
              </w:rPr>
            </w:pPr>
            <w:r>
              <w:rPr>
                <w:rFonts w:hint="eastAsia"/>
                <w:color w:val="auto"/>
                <w:lang w:val="en-US" w:eastAsia="zh-CN"/>
              </w:rPr>
              <w:t>粘有矿物油的废布袋</w:t>
            </w:r>
            <w:r>
              <w:rPr>
                <w:color w:val="auto"/>
              </w:rPr>
              <w:t>属于</w:t>
            </w:r>
            <w:r>
              <w:rPr>
                <w:rFonts w:hint="eastAsia"/>
                <w:color w:val="auto"/>
              </w:rPr>
              <w:t>《国家危险废物名录（2021版）》中</w:t>
            </w:r>
            <w:r>
              <w:rPr>
                <w:color w:val="auto"/>
              </w:rPr>
              <w:t>HW</w:t>
            </w:r>
            <w:r>
              <w:rPr>
                <w:rFonts w:hint="eastAsia"/>
                <w:color w:val="auto"/>
              </w:rPr>
              <w:t>49其他废物，产生量为</w:t>
            </w:r>
            <w:r>
              <w:rPr>
                <w:rFonts w:hint="eastAsia"/>
                <w:color w:val="auto"/>
                <w:lang w:val="en-US" w:eastAsia="zh-CN"/>
              </w:rPr>
              <w:t>1</w:t>
            </w:r>
            <w:r>
              <w:rPr>
                <w:rFonts w:hint="eastAsia"/>
                <w:color w:val="auto"/>
              </w:rPr>
              <w:t>t/a。</w:t>
            </w:r>
          </w:p>
          <w:p>
            <w:pPr>
              <w:ind w:firstLine="480"/>
            </w:pPr>
            <w:r>
              <w:rPr>
                <w:rFonts w:hint="eastAsia"/>
              </w:rPr>
              <w:t>治理措施：新建1</w:t>
            </w:r>
            <w:r>
              <w:rPr>
                <w:rFonts w:hint="eastAsia"/>
                <w:lang w:val="en-US" w:eastAsia="zh-CN"/>
              </w:rPr>
              <w:t>5</w:t>
            </w:r>
            <w:r>
              <w:rPr>
                <w:rFonts w:hint="eastAsia"/>
              </w:rPr>
              <w:t>m</w:t>
            </w:r>
            <w:r>
              <w:rPr>
                <w:rFonts w:hint="eastAsia"/>
                <w:vertAlign w:val="superscript"/>
              </w:rPr>
              <w:t>2</w:t>
            </w:r>
            <w:r>
              <w:rPr>
                <w:rFonts w:hint="eastAsia"/>
              </w:rPr>
              <w:t>危废暂存间暂存，定期交由有资质单位处置。</w:t>
            </w:r>
          </w:p>
          <w:p>
            <w:pPr>
              <w:spacing w:line="240" w:lineRule="auto"/>
              <w:ind w:firstLine="0" w:firstLineChars="0"/>
              <w:jc w:val="center"/>
              <w:rPr>
                <w:b/>
                <w:bCs/>
                <w:sz w:val="21"/>
              </w:rPr>
            </w:pPr>
            <w:r>
              <w:rPr>
                <w:rFonts w:hint="eastAsia"/>
                <w:b/>
                <w:bCs/>
                <w:sz w:val="21"/>
              </w:rPr>
              <w:t>表4-9  危险废物汇总表</w:t>
            </w:r>
          </w:p>
          <w:tbl>
            <w:tblPr>
              <w:tblStyle w:val="3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5"/>
              <w:gridCol w:w="924"/>
              <w:gridCol w:w="1337"/>
              <w:gridCol w:w="1122"/>
              <w:gridCol w:w="925"/>
              <w:gridCol w:w="1222"/>
              <w:gridCol w:w="674"/>
              <w:gridCol w:w="815"/>
              <w:gridCol w:w="7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435"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序号</w:t>
                  </w:r>
                </w:p>
              </w:tc>
              <w:tc>
                <w:tcPr>
                  <w:tcW w:w="924"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危险废物名称</w:t>
                  </w:r>
                </w:p>
              </w:tc>
              <w:tc>
                <w:tcPr>
                  <w:tcW w:w="1337"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危险废物</w:t>
                  </w:r>
                </w:p>
                <w:p>
                  <w:pPr>
                    <w:spacing w:line="240" w:lineRule="auto"/>
                    <w:ind w:firstLine="0" w:firstLineChars="0"/>
                    <w:jc w:val="center"/>
                    <w:rPr>
                      <w:b/>
                      <w:bCs/>
                      <w:sz w:val="21"/>
                    </w:rPr>
                  </w:pPr>
                  <w:r>
                    <w:rPr>
                      <w:rFonts w:hint="eastAsia"/>
                      <w:b/>
                      <w:bCs/>
                      <w:sz w:val="21"/>
                    </w:rPr>
                    <w:t>类别</w:t>
                  </w:r>
                </w:p>
              </w:tc>
              <w:tc>
                <w:tcPr>
                  <w:tcW w:w="1122"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危险废物代码</w:t>
                  </w:r>
                </w:p>
              </w:tc>
              <w:tc>
                <w:tcPr>
                  <w:tcW w:w="925"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产生量</w:t>
                  </w:r>
                  <w:r>
                    <w:rPr>
                      <w:rFonts w:hint="eastAsia"/>
                      <w:sz w:val="21"/>
                    </w:rPr>
                    <w:t>t/a</w:t>
                  </w:r>
                </w:p>
              </w:tc>
              <w:tc>
                <w:tcPr>
                  <w:tcW w:w="1222"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产生工序及装置</w:t>
                  </w:r>
                </w:p>
              </w:tc>
              <w:tc>
                <w:tcPr>
                  <w:tcW w:w="674"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形态</w:t>
                  </w:r>
                </w:p>
              </w:tc>
              <w:tc>
                <w:tcPr>
                  <w:tcW w:w="815"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产废周期</w:t>
                  </w:r>
                </w:p>
              </w:tc>
              <w:tc>
                <w:tcPr>
                  <w:tcW w:w="795" w:type="dxa"/>
                  <w:tcBorders>
                    <w:bottom w:val="single" w:color="auto" w:sz="12" w:space="0"/>
                  </w:tcBorders>
                  <w:vAlign w:val="center"/>
                </w:tcPr>
                <w:p>
                  <w:pPr>
                    <w:spacing w:line="240" w:lineRule="auto"/>
                    <w:ind w:firstLine="0" w:firstLineChars="0"/>
                    <w:jc w:val="center"/>
                    <w:rPr>
                      <w:b/>
                      <w:bCs/>
                      <w:sz w:val="21"/>
                    </w:rPr>
                  </w:pPr>
                  <w:r>
                    <w:rPr>
                      <w:rFonts w:hint="eastAsia"/>
                      <w:b/>
                      <w:bCs/>
                      <w:sz w:val="21"/>
                    </w:rPr>
                    <w:t>危险特性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35"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1</w:t>
                  </w:r>
                </w:p>
              </w:tc>
              <w:tc>
                <w:tcPr>
                  <w:tcW w:w="924"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废机油</w:t>
                  </w:r>
                </w:p>
              </w:tc>
              <w:tc>
                <w:tcPr>
                  <w:tcW w:w="1337"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900-214-08</w:t>
                  </w:r>
                </w:p>
              </w:tc>
              <w:tc>
                <w:tcPr>
                  <w:tcW w:w="1122"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HW08</w:t>
                  </w:r>
                </w:p>
              </w:tc>
              <w:tc>
                <w:tcPr>
                  <w:tcW w:w="925"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0.1</w:t>
                  </w:r>
                </w:p>
              </w:tc>
              <w:tc>
                <w:tcPr>
                  <w:tcW w:w="1222"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设备检修</w:t>
                  </w:r>
                </w:p>
              </w:tc>
              <w:tc>
                <w:tcPr>
                  <w:tcW w:w="674"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液态</w:t>
                  </w:r>
                </w:p>
              </w:tc>
              <w:tc>
                <w:tcPr>
                  <w:tcW w:w="815"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1年</w:t>
                  </w:r>
                </w:p>
              </w:tc>
              <w:tc>
                <w:tcPr>
                  <w:tcW w:w="795"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35" w:type="dxa"/>
                  <w:tcBorders>
                    <w:top w:val="single" w:color="auto" w:sz="4" w:space="0"/>
                    <w:bottom w:val="single" w:color="auto" w:sz="4" w:space="0"/>
                  </w:tcBorders>
                  <w:vAlign w:val="center"/>
                </w:tcPr>
                <w:p>
                  <w:pPr>
                    <w:spacing w:line="240" w:lineRule="auto"/>
                    <w:ind w:firstLine="0" w:firstLineChars="0"/>
                    <w:jc w:val="center"/>
                    <w:rPr>
                      <w:sz w:val="21"/>
                    </w:rPr>
                  </w:pPr>
                  <w:r>
                    <w:rPr>
                      <w:sz w:val="21"/>
                    </w:rPr>
                    <w:t>2</w:t>
                  </w:r>
                </w:p>
              </w:tc>
              <w:tc>
                <w:tcPr>
                  <w:tcW w:w="924"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废液</w:t>
                  </w:r>
                </w:p>
                <w:p>
                  <w:pPr>
                    <w:spacing w:line="240" w:lineRule="auto"/>
                    <w:ind w:firstLine="0" w:firstLineChars="0"/>
                    <w:jc w:val="center"/>
                    <w:rPr>
                      <w:sz w:val="21"/>
                    </w:rPr>
                  </w:pPr>
                  <w:r>
                    <w:rPr>
                      <w:rFonts w:hint="eastAsia"/>
                      <w:sz w:val="21"/>
                    </w:rPr>
                    <w:t>压油</w:t>
                  </w:r>
                </w:p>
              </w:tc>
              <w:tc>
                <w:tcPr>
                  <w:tcW w:w="133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9</w:t>
                  </w:r>
                  <w:r>
                    <w:rPr>
                      <w:sz w:val="21"/>
                    </w:rPr>
                    <w:t>00-218-08</w:t>
                  </w:r>
                </w:p>
              </w:tc>
              <w:tc>
                <w:tcPr>
                  <w:tcW w:w="112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HW08</w:t>
                  </w:r>
                </w:p>
              </w:tc>
              <w:tc>
                <w:tcPr>
                  <w:tcW w:w="92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0</w:t>
                  </w:r>
                  <w:r>
                    <w:rPr>
                      <w:sz w:val="21"/>
                    </w:rPr>
                    <w:t>.64</w:t>
                  </w:r>
                </w:p>
              </w:tc>
              <w:tc>
                <w:tcPr>
                  <w:tcW w:w="122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液压</w:t>
                  </w:r>
                </w:p>
                <w:p>
                  <w:pPr>
                    <w:spacing w:line="240" w:lineRule="auto"/>
                    <w:ind w:firstLine="0" w:firstLineChars="0"/>
                    <w:jc w:val="center"/>
                    <w:rPr>
                      <w:sz w:val="21"/>
                    </w:rPr>
                  </w:pPr>
                  <w:r>
                    <w:rPr>
                      <w:rFonts w:hint="eastAsia"/>
                      <w:sz w:val="21"/>
                    </w:rPr>
                    <w:t>打包机</w:t>
                  </w:r>
                </w:p>
              </w:tc>
              <w:tc>
                <w:tcPr>
                  <w:tcW w:w="674"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液态</w:t>
                  </w:r>
                </w:p>
              </w:tc>
              <w:tc>
                <w:tcPr>
                  <w:tcW w:w="81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2年</w:t>
                  </w:r>
                </w:p>
              </w:tc>
              <w:tc>
                <w:tcPr>
                  <w:tcW w:w="79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35" w:type="dxa"/>
                  <w:tcBorders>
                    <w:top w:val="single" w:color="auto" w:sz="4" w:space="0"/>
                    <w:bottom w:val="single" w:color="auto" w:sz="4" w:space="0"/>
                  </w:tcBorders>
                  <w:vAlign w:val="center"/>
                </w:tcPr>
                <w:p>
                  <w:pPr>
                    <w:spacing w:line="240" w:lineRule="auto"/>
                    <w:ind w:firstLine="0" w:firstLineChars="0"/>
                    <w:jc w:val="center"/>
                    <w:rPr>
                      <w:sz w:val="21"/>
                    </w:rPr>
                  </w:pPr>
                  <w:r>
                    <w:rPr>
                      <w:sz w:val="21"/>
                    </w:rPr>
                    <w:t>3</w:t>
                  </w:r>
                </w:p>
              </w:tc>
              <w:tc>
                <w:tcPr>
                  <w:tcW w:w="924"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废油桶</w:t>
                  </w:r>
                </w:p>
              </w:tc>
              <w:tc>
                <w:tcPr>
                  <w:tcW w:w="133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900-249-08</w:t>
                  </w:r>
                </w:p>
              </w:tc>
              <w:tc>
                <w:tcPr>
                  <w:tcW w:w="112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HW08</w:t>
                  </w:r>
                </w:p>
              </w:tc>
              <w:tc>
                <w:tcPr>
                  <w:tcW w:w="92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0.0</w:t>
                  </w:r>
                  <w:r>
                    <w:rPr>
                      <w:sz w:val="21"/>
                    </w:rPr>
                    <w:t>95</w:t>
                  </w:r>
                  <w:r>
                    <w:rPr>
                      <w:rFonts w:hint="eastAsia"/>
                      <w:sz w:val="21"/>
                    </w:rPr>
                    <w:t>，19kg/桶</w:t>
                  </w:r>
                </w:p>
              </w:tc>
              <w:tc>
                <w:tcPr>
                  <w:tcW w:w="122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设备检修</w:t>
                  </w:r>
                </w:p>
              </w:tc>
              <w:tc>
                <w:tcPr>
                  <w:tcW w:w="674"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固态</w:t>
                  </w:r>
                </w:p>
              </w:tc>
              <w:tc>
                <w:tcPr>
                  <w:tcW w:w="81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1年</w:t>
                  </w:r>
                </w:p>
              </w:tc>
              <w:tc>
                <w:tcPr>
                  <w:tcW w:w="79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43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4</w:t>
                  </w:r>
                </w:p>
              </w:tc>
              <w:tc>
                <w:tcPr>
                  <w:tcW w:w="924"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废手套、废棉纱</w:t>
                  </w:r>
                </w:p>
              </w:tc>
              <w:tc>
                <w:tcPr>
                  <w:tcW w:w="133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900-042-49</w:t>
                  </w:r>
                </w:p>
              </w:tc>
              <w:tc>
                <w:tcPr>
                  <w:tcW w:w="112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HW49</w:t>
                  </w:r>
                </w:p>
              </w:tc>
              <w:tc>
                <w:tcPr>
                  <w:tcW w:w="92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0.01</w:t>
                  </w:r>
                </w:p>
              </w:tc>
              <w:tc>
                <w:tcPr>
                  <w:tcW w:w="122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设备检修</w:t>
                  </w:r>
                </w:p>
              </w:tc>
              <w:tc>
                <w:tcPr>
                  <w:tcW w:w="674"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固态</w:t>
                  </w:r>
                </w:p>
              </w:tc>
              <w:tc>
                <w:tcPr>
                  <w:tcW w:w="81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1年</w:t>
                  </w:r>
                </w:p>
              </w:tc>
              <w:tc>
                <w:tcPr>
                  <w:tcW w:w="795"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dxa"/>
                  <w:tcBorders>
                    <w:top w:val="single" w:color="auto" w:sz="4" w:space="0"/>
                    <w:bottom w:val="single" w:color="auto" w:sz="12" w:space="0"/>
                  </w:tcBorders>
                  <w:vAlign w:val="center"/>
                </w:tcPr>
                <w:p>
                  <w:pPr>
                    <w:spacing w:line="240" w:lineRule="auto"/>
                    <w:ind w:firstLine="0" w:firstLineChars="0"/>
                    <w:jc w:val="center"/>
                    <w:rPr>
                      <w:rFonts w:hint="eastAsia" w:eastAsia="宋体"/>
                      <w:color w:val="auto"/>
                      <w:sz w:val="21"/>
                      <w:lang w:val="en-US" w:eastAsia="zh-CN"/>
                    </w:rPr>
                  </w:pPr>
                  <w:r>
                    <w:rPr>
                      <w:rFonts w:hint="eastAsia"/>
                      <w:color w:val="auto"/>
                      <w:sz w:val="21"/>
                      <w:lang w:val="en-US" w:eastAsia="zh-CN"/>
                    </w:rPr>
                    <w:t>5</w:t>
                  </w:r>
                </w:p>
              </w:tc>
              <w:tc>
                <w:tcPr>
                  <w:tcW w:w="924" w:type="dxa"/>
                  <w:tcBorders>
                    <w:top w:val="single" w:color="auto" w:sz="4" w:space="0"/>
                    <w:bottom w:val="single" w:color="auto" w:sz="12" w:space="0"/>
                  </w:tcBorders>
                  <w:vAlign w:val="center"/>
                </w:tcPr>
                <w:p>
                  <w:pPr>
                    <w:spacing w:line="240" w:lineRule="auto"/>
                    <w:ind w:firstLine="0" w:firstLineChars="0"/>
                    <w:jc w:val="center"/>
                    <w:rPr>
                      <w:rFonts w:hint="eastAsia"/>
                      <w:color w:val="auto"/>
                      <w:sz w:val="21"/>
                    </w:rPr>
                  </w:pPr>
                  <w:r>
                    <w:rPr>
                      <w:rFonts w:hint="eastAsia"/>
                      <w:color w:val="auto"/>
                      <w:sz w:val="21"/>
                      <w:lang w:val="en-US" w:eastAsia="zh-CN"/>
                    </w:rPr>
                    <w:t>粘有矿物油的废布袋</w:t>
                  </w:r>
                </w:p>
              </w:tc>
              <w:tc>
                <w:tcPr>
                  <w:tcW w:w="1337" w:type="dxa"/>
                  <w:tcBorders>
                    <w:top w:val="single" w:color="auto" w:sz="4" w:space="0"/>
                    <w:bottom w:val="single" w:color="auto" w:sz="12" w:space="0"/>
                  </w:tcBorders>
                  <w:vAlign w:val="center"/>
                </w:tcPr>
                <w:p>
                  <w:pPr>
                    <w:spacing w:line="240" w:lineRule="auto"/>
                    <w:ind w:firstLine="0" w:firstLineChars="0"/>
                    <w:jc w:val="center"/>
                    <w:rPr>
                      <w:rFonts w:hint="eastAsia"/>
                      <w:color w:val="auto"/>
                      <w:sz w:val="21"/>
                    </w:rPr>
                  </w:pPr>
                  <w:r>
                    <w:rPr>
                      <w:rFonts w:hint="eastAsia"/>
                      <w:color w:val="auto"/>
                      <w:sz w:val="21"/>
                    </w:rPr>
                    <w:t>900-042-49</w:t>
                  </w:r>
                </w:p>
              </w:tc>
              <w:tc>
                <w:tcPr>
                  <w:tcW w:w="1122" w:type="dxa"/>
                  <w:tcBorders>
                    <w:top w:val="single" w:color="auto" w:sz="4" w:space="0"/>
                    <w:bottom w:val="single" w:color="auto" w:sz="12" w:space="0"/>
                  </w:tcBorders>
                  <w:vAlign w:val="center"/>
                </w:tcPr>
                <w:p>
                  <w:pPr>
                    <w:spacing w:line="240" w:lineRule="auto"/>
                    <w:ind w:firstLine="0" w:firstLineChars="0"/>
                    <w:jc w:val="center"/>
                    <w:rPr>
                      <w:rFonts w:hint="eastAsia"/>
                      <w:color w:val="auto"/>
                      <w:sz w:val="21"/>
                    </w:rPr>
                  </w:pPr>
                  <w:r>
                    <w:rPr>
                      <w:rFonts w:hint="eastAsia"/>
                      <w:color w:val="auto"/>
                      <w:sz w:val="21"/>
                    </w:rPr>
                    <w:t>HW49</w:t>
                  </w:r>
                </w:p>
              </w:tc>
              <w:tc>
                <w:tcPr>
                  <w:tcW w:w="925" w:type="dxa"/>
                  <w:tcBorders>
                    <w:top w:val="single" w:color="auto" w:sz="4" w:space="0"/>
                    <w:bottom w:val="single" w:color="auto" w:sz="12" w:space="0"/>
                  </w:tcBorders>
                  <w:vAlign w:val="center"/>
                </w:tcPr>
                <w:p>
                  <w:pPr>
                    <w:spacing w:line="240" w:lineRule="auto"/>
                    <w:ind w:firstLine="0" w:firstLineChars="0"/>
                    <w:jc w:val="center"/>
                    <w:rPr>
                      <w:rFonts w:hint="eastAsia" w:eastAsia="宋体"/>
                      <w:color w:val="auto"/>
                      <w:sz w:val="21"/>
                      <w:lang w:val="en-US" w:eastAsia="zh-CN"/>
                    </w:rPr>
                  </w:pPr>
                  <w:r>
                    <w:rPr>
                      <w:rFonts w:hint="eastAsia"/>
                      <w:color w:val="auto"/>
                      <w:sz w:val="21"/>
                      <w:lang w:val="en-US" w:eastAsia="zh-CN"/>
                    </w:rPr>
                    <w:t>1</w:t>
                  </w:r>
                </w:p>
              </w:tc>
              <w:tc>
                <w:tcPr>
                  <w:tcW w:w="1222" w:type="dxa"/>
                  <w:tcBorders>
                    <w:top w:val="single" w:color="auto" w:sz="4" w:space="0"/>
                    <w:bottom w:val="single" w:color="auto" w:sz="12" w:space="0"/>
                  </w:tcBorders>
                  <w:vAlign w:val="center"/>
                </w:tcPr>
                <w:p>
                  <w:pPr>
                    <w:spacing w:line="240" w:lineRule="auto"/>
                    <w:ind w:firstLine="0" w:firstLineChars="0"/>
                    <w:jc w:val="center"/>
                    <w:rPr>
                      <w:rFonts w:hint="eastAsia"/>
                      <w:color w:val="auto"/>
                      <w:sz w:val="21"/>
                    </w:rPr>
                  </w:pPr>
                  <w:r>
                    <w:rPr>
                      <w:rFonts w:hint="eastAsia"/>
                      <w:color w:val="auto"/>
                      <w:sz w:val="21"/>
                    </w:rPr>
                    <w:t>设备检修</w:t>
                  </w:r>
                </w:p>
              </w:tc>
              <w:tc>
                <w:tcPr>
                  <w:tcW w:w="674" w:type="dxa"/>
                  <w:tcBorders>
                    <w:top w:val="single" w:color="auto" w:sz="4" w:space="0"/>
                    <w:bottom w:val="single" w:color="auto" w:sz="12" w:space="0"/>
                  </w:tcBorders>
                  <w:vAlign w:val="center"/>
                </w:tcPr>
                <w:p>
                  <w:pPr>
                    <w:spacing w:line="240" w:lineRule="auto"/>
                    <w:ind w:firstLine="0" w:firstLineChars="0"/>
                    <w:jc w:val="center"/>
                    <w:rPr>
                      <w:rFonts w:hint="eastAsia"/>
                      <w:color w:val="auto"/>
                      <w:sz w:val="21"/>
                    </w:rPr>
                  </w:pPr>
                  <w:r>
                    <w:rPr>
                      <w:rFonts w:hint="eastAsia"/>
                      <w:color w:val="auto"/>
                      <w:sz w:val="21"/>
                    </w:rPr>
                    <w:t>固态</w:t>
                  </w:r>
                </w:p>
              </w:tc>
              <w:tc>
                <w:tcPr>
                  <w:tcW w:w="815" w:type="dxa"/>
                  <w:tcBorders>
                    <w:top w:val="single" w:color="auto" w:sz="4" w:space="0"/>
                    <w:bottom w:val="single" w:color="auto" w:sz="12" w:space="0"/>
                  </w:tcBorders>
                  <w:vAlign w:val="center"/>
                </w:tcPr>
                <w:p>
                  <w:pPr>
                    <w:spacing w:line="240" w:lineRule="auto"/>
                    <w:ind w:firstLine="0" w:firstLineChars="0"/>
                    <w:jc w:val="center"/>
                    <w:rPr>
                      <w:rFonts w:hint="eastAsia"/>
                      <w:color w:val="auto"/>
                      <w:sz w:val="21"/>
                    </w:rPr>
                  </w:pPr>
                  <w:r>
                    <w:rPr>
                      <w:rFonts w:hint="eastAsia"/>
                      <w:color w:val="auto"/>
                      <w:sz w:val="21"/>
                    </w:rPr>
                    <w:t>1年</w:t>
                  </w:r>
                </w:p>
              </w:tc>
              <w:tc>
                <w:tcPr>
                  <w:tcW w:w="795" w:type="dxa"/>
                  <w:tcBorders>
                    <w:top w:val="single" w:color="auto" w:sz="4" w:space="0"/>
                    <w:bottom w:val="single" w:color="auto" w:sz="12" w:space="0"/>
                  </w:tcBorders>
                  <w:vAlign w:val="center"/>
                </w:tcPr>
                <w:p>
                  <w:pPr>
                    <w:spacing w:line="240" w:lineRule="auto"/>
                    <w:ind w:firstLine="0" w:firstLineChars="0"/>
                    <w:jc w:val="center"/>
                    <w:rPr>
                      <w:rFonts w:hint="eastAsia"/>
                      <w:color w:val="auto"/>
                      <w:sz w:val="21"/>
                    </w:rPr>
                  </w:pPr>
                  <w:r>
                    <w:rPr>
                      <w:rFonts w:hint="eastAsia"/>
                      <w:color w:val="auto"/>
                      <w:sz w:val="21"/>
                    </w:rPr>
                    <w:t>T/I</w:t>
                  </w:r>
                </w:p>
              </w:tc>
            </w:tr>
          </w:tbl>
          <w:p>
            <w:pPr>
              <w:spacing w:before="120" w:beforeLines="50" w:line="240" w:lineRule="auto"/>
              <w:ind w:firstLine="0" w:firstLineChars="0"/>
              <w:jc w:val="center"/>
              <w:rPr>
                <w:rFonts w:hint="eastAsia"/>
                <w:b/>
                <w:bCs/>
                <w:sz w:val="21"/>
              </w:rPr>
            </w:pPr>
          </w:p>
          <w:p>
            <w:pPr>
              <w:spacing w:before="120" w:beforeLines="50" w:line="240" w:lineRule="auto"/>
              <w:ind w:firstLine="0" w:firstLineChars="0"/>
              <w:jc w:val="center"/>
              <w:rPr>
                <w:b/>
                <w:bCs/>
                <w:sz w:val="21"/>
              </w:rPr>
            </w:pPr>
            <w:r>
              <w:rPr>
                <w:rFonts w:hint="eastAsia"/>
                <w:b/>
                <w:bCs/>
                <w:sz w:val="21"/>
              </w:rPr>
              <w:t>表4-10  危险废物贮存场所（设施）基本情况样表</w:t>
            </w:r>
          </w:p>
          <w:tbl>
            <w:tblPr>
              <w:tblStyle w:val="3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001"/>
              <w:gridCol w:w="888"/>
              <w:gridCol w:w="946"/>
              <w:gridCol w:w="1311"/>
              <w:gridCol w:w="932"/>
              <w:gridCol w:w="826"/>
              <w:gridCol w:w="961"/>
              <w:gridCol w:w="9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427"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序号</w:t>
                  </w:r>
                </w:p>
              </w:tc>
              <w:tc>
                <w:tcPr>
                  <w:tcW w:w="1001"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贮存场所名称</w:t>
                  </w:r>
                </w:p>
              </w:tc>
              <w:tc>
                <w:tcPr>
                  <w:tcW w:w="888"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危险废物名称</w:t>
                  </w:r>
                </w:p>
              </w:tc>
              <w:tc>
                <w:tcPr>
                  <w:tcW w:w="946"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危险废物类别</w:t>
                  </w:r>
                </w:p>
              </w:tc>
              <w:tc>
                <w:tcPr>
                  <w:tcW w:w="1311"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危险废物</w:t>
                  </w:r>
                </w:p>
                <w:p>
                  <w:pPr>
                    <w:spacing w:line="240" w:lineRule="auto"/>
                    <w:ind w:firstLine="0" w:firstLineChars="0"/>
                    <w:jc w:val="center"/>
                    <w:rPr>
                      <w:b/>
                      <w:bCs/>
                      <w:sz w:val="21"/>
                    </w:rPr>
                  </w:pPr>
                  <w:r>
                    <w:rPr>
                      <w:rFonts w:hint="eastAsia"/>
                      <w:b/>
                      <w:bCs/>
                      <w:sz w:val="21"/>
                    </w:rPr>
                    <w:t>代码</w:t>
                  </w:r>
                </w:p>
              </w:tc>
              <w:tc>
                <w:tcPr>
                  <w:tcW w:w="932"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占地面积m</w:t>
                  </w:r>
                  <w:r>
                    <w:rPr>
                      <w:rFonts w:hint="eastAsia"/>
                      <w:b/>
                      <w:bCs/>
                      <w:sz w:val="21"/>
                      <w:vertAlign w:val="superscript"/>
                    </w:rPr>
                    <w:t>2</w:t>
                  </w:r>
                </w:p>
              </w:tc>
              <w:tc>
                <w:tcPr>
                  <w:tcW w:w="826"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贮存方式</w:t>
                  </w:r>
                </w:p>
              </w:tc>
              <w:tc>
                <w:tcPr>
                  <w:tcW w:w="961"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贮存</w:t>
                  </w:r>
                </w:p>
                <w:p>
                  <w:pPr>
                    <w:spacing w:line="240" w:lineRule="auto"/>
                    <w:ind w:firstLine="0" w:firstLineChars="0"/>
                    <w:jc w:val="center"/>
                    <w:rPr>
                      <w:b/>
                      <w:bCs/>
                      <w:sz w:val="21"/>
                    </w:rPr>
                  </w:pPr>
                  <w:r>
                    <w:rPr>
                      <w:rFonts w:hint="eastAsia"/>
                      <w:b/>
                      <w:bCs/>
                      <w:sz w:val="21"/>
                    </w:rPr>
                    <w:t>能力t/a</w:t>
                  </w:r>
                </w:p>
              </w:tc>
              <w:tc>
                <w:tcPr>
                  <w:tcW w:w="957" w:type="dxa"/>
                  <w:tcBorders>
                    <w:top w:val="single" w:color="auto" w:sz="12" w:space="0"/>
                    <w:bottom w:val="single" w:color="auto" w:sz="12" w:space="0"/>
                  </w:tcBorders>
                  <w:vAlign w:val="center"/>
                </w:tcPr>
                <w:p>
                  <w:pPr>
                    <w:spacing w:line="240" w:lineRule="auto"/>
                    <w:ind w:firstLine="0" w:firstLineChars="0"/>
                    <w:jc w:val="center"/>
                    <w:rPr>
                      <w:b/>
                      <w:bCs/>
                      <w:sz w:val="21"/>
                    </w:rPr>
                  </w:pPr>
                  <w:r>
                    <w:rPr>
                      <w:rFonts w:hint="eastAsia"/>
                      <w:b/>
                      <w:bCs/>
                      <w:sz w:val="21"/>
                    </w:rPr>
                    <w:t>贮存</w:t>
                  </w:r>
                </w:p>
                <w:p>
                  <w:pPr>
                    <w:spacing w:line="240" w:lineRule="auto"/>
                    <w:ind w:firstLine="0" w:firstLineChars="0"/>
                    <w:jc w:val="center"/>
                    <w:rPr>
                      <w:b/>
                      <w:bCs/>
                      <w:sz w:val="21"/>
                    </w:rPr>
                  </w:pPr>
                  <w:r>
                    <w:rPr>
                      <w:rFonts w:hint="eastAsia"/>
                      <w:b/>
                      <w:bCs/>
                      <w:sz w:val="21"/>
                    </w:rPr>
                    <w:t>周期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27"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1</w:t>
                  </w:r>
                </w:p>
              </w:tc>
              <w:tc>
                <w:tcPr>
                  <w:tcW w:w="1001" w:type="dxa"/>
                  <w:vMerge w:val="restart"/>
                  <w:tcBorders>
                    <w:top w:val="single" w:color="auto" w:sz="12" w:space="0"/>
                  </w:tcBorders>
                  <w:vAlign w:val="center"/>
                </w:tcPr>
                <w:p>
                  <w:pPr>
                    <w:spacing w:line="240" w:lineRule="auto"/>
                    <w:ind w:firstLine="0" w:firstLineChars="0"/>
                    <w:jc w:val="center"/>
                    <w:rPr>
                      <w:sz w:val="21"/>
                    </w:rPr>
                  </w:pPr>
                  <w:r>
                    <w:rPr>
                      <w:rFonts w:hint="eastAsia"/>
                      <w:sz w:val="21"/>
                    </w:rPr>
                    <w:t>危废暂存间（1</w:t>
                  </w:r>
                  <w:r>
                    <w:rPr>
                      <w:rFonts w:hint="eastAsia"/>
                      <w:sz w:val="21"/>
                      <w:lang w:val="en-US" w:eastAsia="zh-CN"/>
                    </w:rPr>
                    <w:t>5</w:t>
                  </w:r>
                  <w:r>
                    <w:rPr>
                      <w:rFonts w:hint="eastAsia"/>
                      <w:sz w:val="21"/>
                    </w:rPr>
                    <w:t>m</w:t>
                  </w:r>
                  <w:r>
                    <w:rPr>
                      <w:rFonts w:hint="eastAsia"/>
                      <w:sz w:val="21"/>
                      <w:vertAlign w:val="superscript"/>
                    </w:rPr>
                    <w:t>2</w:t>
                  </w:r>
                  <w:r>
                    <w:rPr>
                      <w:rFonts w:hint="eastAsia"/>
                      <w:sz w:val="21"/>
                    </w:rPr>
                    <w:t>）</w:t>
                  </w:r>
                </w:p>
              </w:tc>
              <w:tc>
                <w:tcPr>
                  <w:tcW w:w="888"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废机油</w:t>
                  </w:r>
                </w:p>
              </w:tc>
              <w:tc>
                <w:tcPr>
                  <w:tcW w:w="946"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HW08</w:t>
                  </w:r>
                </w:p>
              </w:tc>
              <w:tc>
                <w:tcPr>
                  <w:tcW w:w="1311"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900-214-08</w:t>
                  </w:r>
                </w:p>
              </w:tc>
              <w:tc>
                <w:tcPr>
                  <w:tcW w:w="932"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3</w:t>
                  </w:r>
                </w:p>
              </w:tc>
              <w:tc>
                <w:tcPr>
                  <w:tcW w:w="826"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桶装密封</w:t>
                  </w:r>
                </w:p>
              </w:tc>
              <w:tc>
                <w:tcPr>
                  <w:tcW w:w="961"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1</w:t>
                  </w:r>
                </w:p>
              </w:tc>
              <w:tc>
                <w:tcPr>
                  <w:tcW w:w="957" w:type="dxa"/>
                  <w:tcBorders>
                    <w:top w:val="single" w:color="auto" w:sz="12" w:space="0"/>
                    <w:bottom w:val="single" w:color="auto" w:sz="4" w:space="0"/>
                  </w:tcBorders>
                  <w:vAlign w:val="center"/>
                </w:tcPr>
                <w:p>
                  <w:pPr>
                    <w:spacing w:line="240" w:lineRule="auto"/>
                    <w:ind w:firstLine="0" w:firstLineChars="0"/>
                    <w:jc w:val="center"/>
                    <w:rPr>
                      <w:sz w:val="21"/>
                    </w:rPr>
                  </w:pPr>
                  <w:r>
                    <w:rPr>
                      <w:rFonts w:hint="eastAsia"/>
                      <w:sz w:val="21"/>
                    </w:rPr>
                    <w:t>12个月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2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2</w:t>
                  </w:r>
                </w:p>
              </w:tc>
              <w:tc>
                <w:tcPr>
                  <w:tcW w:w="1001" w:type="dxa"/>
                  <w:vMerge w:val="continue"/>
                  <w:vAlign w:val="center"/>
                </w:tcPr>
                <w:p>
                  <w:pPr>
                    <w:spacing w:line="240" w:lineRule="auto"/>
                    <w:ind w:firstLine="0" w:firstLineChars="0"/>
                    <w:jc w:val="center"/>
                    <w:rPr>
                      <w:sz w:val="21"/>
                    </w:rPr>
                  </w:pPr>
                </w:p>
              </w:tc>
              <w:tc>
                <w:tcPr>
                  <w:tcW w:w="888"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废液</w:t>
                  </w:r>
                </w:p>
                <w:p>
                  <w:pPr>
                    <w:spacing w:line="240" w:lineRule="auto"/>
                    <w:ind w:firstLine="0" w:firstLineChars="0"/>
                    <w:jc w:val="center"/>
                    <w:rPr>
                      <w:sz w:val="21"/>
                    </w:rPr>
                  </w:pPr>
                  <w:r>
                    <w:rPr>
                      <w:rFonts w:hint="eastAsia"/>
                      <w:sz w:val="21"/>
                    </w:rPr>
                    <w:t>压油</w:t>
                  </w:r>
                </w:p>
              </w:tc>
              <w:tc>
                <w:tcPr>
                  <w:tcW w:w="946"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HW08</w:t>
                  </w:r>
                </w:p>
              </w:tc>
              <w:tc>
                <w:tcPr>
                  <w:tcW w:w="1311"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9</w:t>
                  </w:r>
                  <w:r>
                    <w:rPr>
                      <w:sz w:val="21"/>
                    </w:rPr>
                    <w:t>00-218-08</w:t>
                  </w:r>
                </w:p>
              </w:tc>
              <w:tc>
                <w:tcPr>
                  <w:tcW w:w="93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3</w:t>
                  </w:r>
                </w:p>
              </w:tc>
              <w:tc>
                <w:tcPr>
                  <w:tcW w:w="826"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桶装密封</w:t>
                  </w:r>
                </w:p>
              </w:tc>
              <w:tc>
                <w:tcPr>
                  <w:tcW w:w="961" w:type="dxa"/>
                  <w:tcBorders>
                    <w:top w:val="single" w:color="auto" w:sz="4" w:space="0"/>
                    <w:bottom w:val="single" w:color="auto" w:sz="4" w:space="0"/>
                  </w:tcBorders>
                  <w:vAlign w:val="center"/>
                </w:tcPr>
                <w:p>
                  <w:pPr>
                    <w:spacing w:line="240" w:lineRule="auto"/>
                    <w:ind w:firstLine="0" w:firstLineChars="0"/>
                    <w:jc w:val="center"/>
                    <w:rPr>
                      <w:sz w:val="21"/>
                      <w:szCs w:val="20"/>
                    </w:rPr>
                  </w:pPr>
                  <w:r>
                    <w:rPr>
                      <w:rFonts w:hint="eastAsia"/>
                      <w:sz w:val="21"/>
                      <w:szCs w:val="20"/>
                    </w:rPr>
                    <w:t>1</w:t>
                  </w:r>
                </w:p>
              </w:tc>
              <w:tc>
                <w:tcPr>
                  <w:tcW w:w="95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12个月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66" w:hRule="atLeast"/>
              </w:trPr>
              <w:tc>
                <w:tcPr>
                  <w:tcW w:w="42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3</w:t>
                  </w:r>
                </w:p>
              </w:tc>
              <w:tc>
                <w:tcPr>
                  <w:tcW w:w="1001" w:type="dxa"/>
                  <w:vMerge w:val="continue"/>
                  <w:vAlign w:val="center"/>
                </w:tcPr>
                <w:p>
                  <w:pPr>
                    <w:spacing w:line="240" w:lineRule="auto"/>
                    <w:ind w:firstLine="0" w:firstLineChars="0"/>
                    <w:jc w:val="center"/>
                    <w:rPr>
                      <w:sz w:val="21"/>
                    </w:rPr>
                  </w:pPr>
                </w:p>
              </w:tc>
              <w:tc>
                <w:tcPr>
                  <w:tcW w:w="888"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废油桶</w:t>
                  </w:r>
                </w:p>
              </w:tc>
              <w:tc>
                <w:tcPr>
                  <w:tcW w:w="946" w:type="dxa"/>
                  <w:tcBorders>
                    <w:top w:val="single" w:color="auto" w:sz="4" w:space="0"/>
                    <w:bottom w:val="single" w:color="auto" w:sz="4" w:space="0"/>
                  </w:tcBorders>
                  <w:shd w:val="clear" w:color="auto" w:fill="auto"/>
                  <w:vAlign w:val="center"/>
                </w:tcPr>
                <w:p>
                  <w:pPr>
                    <w:spacing w:line="240" w:lineRule="auto"/>
                    <w:ind w:firstLine="0" w:firstLineChars="0"/>
                    <w:jc w:val="center"/>
                    <w:rPr>
                      <w:sz w:val="21"/>
                    </w:rPr>
                  </w:pPr>
                  <w:r>
                    <w:rPr>
                      <w:rFonts w:hint="eastAsia"/>
                      <w:sz w:val="21"/>
                    </w:rPr>
                    <w:t>HW08</w:t>
                  </w:r>
                </w:p>
              </w:tc>
              <w:tc>
                <w:tcPr>
                  <w:tcW w:w="1311" w:type="dxa"/>
                  <w:tcBorders>
                    <w:top w:val="single" w:color="auto" w:sz="4" w:space="0"/>
                    <w:bottom w:val="single" w:color="auto" w:sz="4" w:space="0"/>
                  </w:tcBorders>
                  <w:shd w:val="clear" w:color="auto" w:fill="auto"/>
                  <w:vAlign w:val="center"/>
                </w:tcPr>
                <w:p>
                  <w:pPr>
                    <w:spacing w:line="240" w:lineRule="auto"/>
                    <w:ind w:firstLine="0" w:firstLineChars="0"/>
                    <w:jc w:val="center"/>
                    <w:rPr>
                      <w:sz w:val="21"/>
                    </w:rPr>
                  </w:pPr>
                  <w:r>
                    <w:rPr>
                      <w:rFonts w:hint="eastAsia"/>
                      <w:sz w:val="21"/>
                    </w:rPr>
                    <w:t>900-249-08</w:t>
                  </w:r>
                </w:p>
              </w:tc>
              <w:tc>
                <w:tcPr>
                  <w:tcW w:w="93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3</w:t>
                  </w:r>
                </w:p>
              </w:tc>
              <w:tc>
                <w:tcPr>
                  <w:tcW w:w="826"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桶装密封</w:t>
                  </w:r>
                </w:p>
              </w:tc>
              <w:tc>
                <w:tcPr>
                  <w:tcW w:w="961" w:type="dxa"/>
                  <w:tcBorders>
                    <w:top w:val="single" w:color="auto" w:sz="4" w:space="0"/>
                    <w:bottom w:val="single" w:color="auto" w:sz="4" w:space="0"/>
                  </w:tcBorders>
                  <w:vAlign w:val="center"/>
                </w:tcPr>
                <w:p>
                  <w:pPr>
                    <w:spacing w:line="240" w:lineRule="auto"/>
                    <w:ind w:firstLine="0" w:firstLineChars="0"/>
                    <w:jc w:val="center"/>
                    <w:rPr>
                      <w:sz w:val="21"/>
                      <w:szCs w:val="20"/>
                    </w:rPr>
                  </w:pPr>
                  <w:r>
                    <w:rPr>
                      <w:rFonts w:hint="eastAsia"/>
                      <w:sz w:val="21"/>
                      <w:szCs w:val="20"/>
                    </w:rPr>
                    <w:t>0.25</w:t>
                  </w:r>
                </w:p>
              </w:tc>
              <w:tc>
                <w:tcPr>
                  <w:tcW w:w="95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12个月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2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4</w:t>
                  </w:r>
                </w:p>
              </w:tc>
              <w:tc>
                <w:tcPr>
                  <w:tcW w:w="1001" w:type="dxa"/>
                  <w:vMerge w:val="continue"/>
                  <w:vAlign w:val="center"/>
                </w:tcPr>
                <w:p>
                  <w:pPr>
                    <w:spacing w:line="240" w:lineRule="auto"/>
                    <w:ind w:firstLine="0" w:firstLineChars="0"/>
                    <w:jc w:val="center"/>
                    <w:rPr>
                      <w:sz w:val="21"/>
                    </w:rPr>
                  </w:pPr>
                </w:p>
              </w:tc>
              <w:tc>
                <w:tcPr>
                  <w:tcW w:w="888"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废手套、废棉纱</w:t>
                  </w:r>
                </w:p>
              </w:tc>
              <w:tc>
                <w:tcPr>
                  <w:tcW w:w="946" w:type="dxa"/>
                  <w:tcBorders>
                    <w:top w:val="single" w:color="auto" w:sz="4" w:space="0"/>
                    <w:bottom w:val="single" w:color="auto" w:sz="4" w:space="0"/>
                  </w:tcBorders>
                  <w:shd w:val="clear" w:color="auto" w:fill="auto"/>
                  <w:vAlign w:val="center"/>
                </w:tcPr>
                <w:p>
                  <w:pPr>
                    <w:spacing w:line="240" w:lineRule="auto"/>
                    <w:ind w:firstLine="0" w:firstLineChars="0"/>
                    <w:jc w:val="center"/>
                    <w:rPr>
                      <w:sz w:val="21"/>
                    </w:rPr>
                  </w:pPr>
                  <w:r>
                    <w:rPr>
                      <w:rFonts w:hint="eastAsia"/>
                      <w:sz w:val="21"/>
                    </w:rPr>
                    <w:t>HW49</w:t>
                  </w:r>
                </w:p>
              </w:tc>
              <w:tc>
                <w:tcPr>
                  <w:tcW w:w="1311" w:type="dxa"/>
                  <w:tcBorders>
                    <w:top w:val="single" w:color="auto" w:sz="4" w:space="0"/>
                    <w:bottom w:val="single" w:color="auto" w:sz="4" w:space="0"/>
                  </w:tcBorders>
                  <w:shd w:val="clear" w:color="auto" w:fill="auto"/>
                  <w:vAlign w:val="center"/>
                </w:tcPr>
                <w:p>
                  <w:pPr>
                    <w:spacing w:line="240" w:lineRule="auto"/>
                    <w:ind w:firstLine="0" w:firstLineChars="0"/>
                    <w:jc w:val="center"/>
                    <w:rPr>
                      <w:sz w:val="21"/>
                    </w:rPr>
                  </w:pPr>
                  <w:r>
                    <w:rPr>
                      <w:rFonts w:hint="eastAsia"/>
                      <w:sz w:val="21"/>
                    </w:rPr>
                    <w:t>900-042-49</w:t>
                  </w:r>
                </w:p>
              </w:tc>
              <w:tc>
                <w:tcPr>
                  <w:tcW w:w="932"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1</w:t>
                  </w:r>
                </w:p>
              </w:tc>
              <w:tc>
                <w:tcPr>
                  <w:tcW w:w="826"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袋装</w:t>
                  </w:r>
                </w:p>
              </w:tc>
              <w:tc>
                <w:tcPr>
                  <w:tcW w:w="961" w:type="dxa"/>
                  <w:tcBorders>
                    <w:top w:val="single" w:color="auto" w:sz="4" w:space="0"/>
                    <w:bottom w:val="single" w:color="auto" w:sz="4" w:space="0"/>
                  </w:tcBorders>
                  <w:vAlign w:val="center"/>
                </w:tcPr>
                <w:p>
                  <w:pPr>
                    <w:spacing w:line="240" w:lineRule="auto"/>
                    <w:ind w:firstLine="0" w:firstLineChars="0"/>
                    <w:jc w:val="center"/>
                    <w:rPr>
                      <w:sz w:val="21"/>
                      <w:szCs w:val="20"/>
                    </w:rPr>
                  </w:pPr>
                  <w:r>
                    <w:rPr>
                      <w:rFonts w:hint="eastAsia"/>
                      <w:sz w:val="21"/>
                      <w:szCs w:val="20"/>
                    </w:rPr>
                    <w:t>0.4</w:t>
                  </w:r>
                </w:p>
              </w:tc>
              <w:tc>
                <w:tcPr>
                  <w:tcW w:w="957" w:type="dxa"/>
                  <w:tcBorders>
                    <w:top w:val="single" w:color="auto" w:sz="4" w:space="0"/>
                    <w:bottom w:val="single" w:color="auto" w:sz="4" w:space="0"/>
                  </w:tcBorders>
                  <w:vAlign w:val="center"/>
                </w:tcPr>
                <w:p>
                  <w:pPr>
                    <w:spacing w:line="240" w:lineRule="auto"/>
                    <w:ind w:firstLine="0" w:firstLineChars="0"/>
                    <w:jc w:val="center"/>
                    <w:rPr>
                      <w:sz w:val="21"/>
                    </w:rPr>
                  </w:pPr>
                  <w:r>
                    <w:rPr>
                      <w:rFonts w:hint="eastAsia"/>
                      <w:sz w:val="21"/>
                    </w:rPr>
                    <w:t>12个月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27" w:type="dxa"/>
                  <w:tcBorders>
                    <w:top w:val="single" w:color="auto" w:sz="4" w:space="0"/>
                    <w:bottom w:val="single" w:color="auto" w:sz="4" w:space="0"/>
                  </w:tcBorders>
                  <w:vAlign w:val="center"/>
                </w:tcPr>
                <w:p>
                  <w:pPr>
                    <w:spacing w:line="240" w:lineRule="auto"/>
                    <w:ind w:firstLine="0" w:firstLineChars="0"/>
                    <w:jc w:val="center"/>
                    <w:rPr>
                      <w:rFonts w:hint="eastAsia" w:eastAsia="宋体"/>
                      <w:sz w:val="21"/>
                      <w:lang w:val="en-US" w:eastAsia="zh-CN"/>
                    </w:rPr>
                  </w:pPr>
                  <w:r>
                    <w:rPr>
                      <w:rFonts w:hint="eastAsia"/>
                      <w:sz w:val="21"/>
                      <w:lang w:val="en-US" w:eastAsia="zh-CN"/>
                    </w:rPr>
                    <w:t>5</w:t>
                  </w:r>
                </w:p>
              </w:tc>
              <w:tc>
                <w:tcPr>
                  <w:tcW w:w="1001" w:type="dxa"/>
                  <w:vMerge w:val="continue"/>
                  <w:vAlign w:val="center"/>
                </w:tcPr>
                <w:p>
                  <w:pPr>
                    <w:spacing w:line="240" w:lineRule="auto"/>
                    <w:ind w:firstLine="0" w:firstLineChars="0"/>
                    <w:jc w:val="center"/>
                    <w:rPr>
                      <w:sz w:val="21"/>
                    </w:rPr>
                  </w:pPr>
                </w:p>
              </w:tc>
              <w:tc>
                <w:tcPr>
                  <w:tcW w:w="888"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rPr>
                  </w:pPr>
                  <w:r>
                    <w:rPr>
                      <w:rFonts w:hint="eastAsia"/>
                      <w:color w:val="auto"/>
                      <w:sz w:val="21"/>
                      <w:lang w:val="en-US" w:eastAsia="zh-CN"/>
                    </w:rPr>
                    <w:t>粘有矿物油的废布袋</w:t>
                  </w:r>
                </w:p>
              </w:tc>
              <w:tc>
                <w:tcPr>
                  <w:tcW w:w="946" w:type="dxa"/>
                  <w:tcBorders>
                    <w:top w:val="single" w:color="auto" w:sz="4" w:space="0"/>
                    <w:bottom w:val="single" w:color="auto" w:sz="4" w:space="0"/>
                  </w:tcBorders>
                  <w:shd w:val="clear" w:color="auto" w:fill="auto"/>
                  <w:vAlign w:val="center"/>
                </w:tcPr>
                <w:p>
                  <w:pPr>
                    <w:spacing w:line="240" w:lineRule="auto"/>
                    <w:ind w:firstLine="0" w:firstLineChars="0"/>
                    <w:jc w:val="center"/>
                    <w:rPr>
                      <w:rFonts w:hint="eastAsia"/>
                      <w:color w:val="auto"/>
                      <w:sz w:val="21"/>
                    </w:rPr>
                  </w:pPr>
                  <w:r>
                    <w:rPr>
                      <w:rFonts w:hint="eastAsia"/>
                      <w:color w:val="auto"/>
                      <w:sz w:val="21"/>
                    </w:rPr>
                    <w:t>HW49</w:t>
                  </w:r>
                </w:p>
              </w:tc>
              <w:tc>
                <w:tcPr>
                  <w:tcW w:w="1311" w:type="dxa"/>
                  <w:tcBorders>
                    <w:top w:val="single" w:color="auto" w:sz="4" w:space="0"/>
                    <w:bottom w:val="single" w:color="auto" w:sz="4" w:space="0"/>
                  </w:tcBorders>
                  <w:shd w:val="clear" w:color="auto" w:fill="auto"/>
                  <w:vAlign w:val="center"/>
                </w:tcPr>
                <w:p>
                  <w:pPr>
                    <w:spacing w:line="240" w:lineRule="auto"/>
                    <w:ind w:firstLine="0" w:firstLineChars="0"/>
                    <w:jc w:val="center"/>
                    <w:rPr>
                      <w:rFonts w:hint="eastAsia"/>
                      <w:color w:val="auto"/>
                      <w:sz w:val="21"/>
                    </w:rPr>
                  </w:pPr>
                  <w:r>
                    <w:rPr>
                      <w:rFonts w:hint="eastAsia"/>
                      <w:color w:val="auto"/>
                      <w:sz w:val="21"/>
                    </w:rPr>
                    <w:t>900-042-49</w:t>
                  </w:r>
                </w:p>
              </w:tc>
              <w:tc>
                <w:tcPr>
                  <w:tcW w:w="932"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rPr>
                  </w:pPr>
                  <w:r>
                    <w:rPr>
                      <w:rFonts w:hint="eastAsia"/>
                      <w:color w:val="auto"/>
                      <w:sz w:val="21"/>
                      <w:lang w:val="en-US" w:eastAsia="zh-CN"/>
                    </w:rPr>
                    <w:t>5</w:t>
                  </w:r>
                </w:p>
              </w:tc>
              <w:tc>
                <w:tcPr>
                  <w:tcW w:w="826" w:type="dxa"/>
                  <w:tcBorders>
                    <w:top w:val="single" w:color="auto" w:sz="4" w:space="0"/>
                    <w:bottom w:val="single" w:color="auto" w:sz="4" w:space="0"/>
                  </w:tcBorders>
                  <w:vAlign w:val="center"/>
                </w:tcPr>
                <w:p>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袋装</w:t>
                  </w:r>
                </w:p>
              </w:tc>
              <w:tc>
                <w:tcPr>
                  <w:tcW w:w="961" w:type="dxa"/>
                  <w:tcBorders>
                    <w:top w:val="single" w:color="auto" w:sz="4" w:space="0"/>
                    <w:bottom w:val="single" w:color="auto" w:sz="4" w:space="0"/>
                  </w:tcBorders>
                  <w:vAlign w:val="center"/>
                </w:tcPr>
                <w:p>
                  <w:pPr>
                    <w:spacing w:line="240" w:lineRule="auto"/>
                    <w:ind w:firstLine="0" w:firstLineChars="0"/>
                    <w:jc w:val="center"/>
                    <w:rPr>
                      <w:rFonts w:hint="default" w:eastAsia="宋体"/>
                      <w:color w:val="auto"/>
                      <w:sz w:val="21"/>
                      <w:szCs w:val="20"/>
                      <w:lang w:val="en-US" w:eastAsia="zh-CN"/>
                    </w:rPr>
                  </w:pPr>
                  <w:r>
                    <w:rPr>
                      <w:rFonts w:hint="eastAsia"/>
                      <w:color w:val="auto"/>
                      <w:sz w:val="21"/>
                      <w:szCs w:val="20"/>
                      <w:lang w:val="en-US" w:eastAsia="zh-CN"/>
                    </w:rPr>
                    <w:t>0.5</w:t>
                  </w:r>
                </w:p>
              </w:tc>
              <w:tc>
                <w:tcPr>
                  <w:tcW w:w="957" w:type="dxa"/>
                  <w:tcBorders>
                    <w:top w:val="single" w:color="auto" w:sz="4" w:space="0"/>
                    <w:bottom w:val="single" w:color="auto" w:sz="4" w:space="0"/>
                  </w:tcBorders>
                  <w:vAlign w:val="center"/>
                </w:tcPr>
                <w:p>
                  <w:pPr>
                    <w:spacing w:line="240" w:lineRule="auto"/>
                    <w:ind w:firstLine="0" w:firstLineChars="0"/>
                    <w:jc w:val="center"/>
                    <w:rPr>
                      <w:rFonts w:hint="eastAsia"/>
                      <w:color w:val="auto"/>
                      <w:sz w:val="21"/>
                    </w:rPr>
                  </w:pPr>
                  <w:r>
                    <w:rPr>
                      <w:rFonts w:hint="eastAsia"/>
                      <w:color w:val="auto"/>
                      <w:sz w:val="21"/>
                      <w:lang w:val="en-US" w:eastAsia="zh-CN"/>
                    </w:rPr>
                    <w:t>6</w:t>
                  </w:r>
                  <w:r>
                    <w:rPr>
                      <w:rFonts w:hint="eastAsia"/>
                      <w:color w:val="auto"/>
                      <w:sz w:val="21"/>
                    </w:rPr>
                    <w:t>个月</w:t>
                  </w:r>
                </w:p>
              </w:tc>
            </w:tr>
          </w:tbl>
          <w:p>
            <w:pPr>
              <w:ind w:firstLine="482"/>
              <w:rPr>
                <w:b/>
                <w:bCs/>
              </w:rPr>
            </w:pPr>
            <w:r>
              <w:rPr>
                <w:rFonts w:hint="eastAsia"/>
                <w:b/>
                <w:bCs/>
              </w:rPr>
              <w:t>危废暂存间</w:t>
            </w:r>
            <w:r>
              <w:rPr>
                <w:b/>
                <w:bCs/>
              </w:rPr>
              <w:t>建设要求</w:t>
            </w:r>
            <w:r>
              <w:rPr>
                <w:rFonts w:hint="eastAsia"/>
                <w:b/>
                <w:bCs/>
              </w:rPr>
              <w:t>：</w:t>
            </w:r>
            <w:r>
              <w:rPr>
                <w:b/>
                <w:bCs/>
              </w:rPr>
              <w:t>危废暂存间应按照《危险废物贮存污染控制标准》（GB18597-2001）及</w:t>
            </w:r>
            <w:r>
              <w:rPr>
                <w:rFonts w:hint="eastAsia"/>
                <w:b/>
                <w:bCs/>
              </w:rPr>
              <w:t>2013年修改单中要求</w:t>
            </w:r>
            <w:r>
              <w:rPr>
                <w:b/>
                <w:bCs/>
              </w:rPr>
              <w:t>建造，具体要求为：</w:t>
            </w:r>
          </w:p>
          <w:p>
            <w:pPr>
              <w:spacing w:line="460" w:lineRule="exact"/>
              <w:ind w:firstLine="480"/>
            </w:pPr>
            <w:r>
              <w:t>a、危险废物暂存间采用仓库式设计，库内地面与裙脚采用坚固、防渗的材料建造，建筑材料必须与危险废物相容。基础和</w:t>
            </w:r>
            <w:r>
              <w:rPr>
                <w:rFonts w:hint="eastAsia"/>
              </w:rPr>
              <w:t>裙</w:t>
            </w:r>
            <w:r>
              <w:t>脚必须防渗，防渗层为至少1m厚的粘土层（渗透系数≤10</w:t>
            </w:r>
            <w:r>
              <w:rPr>
                <w:vertAlign w:val="superscript"/>
              </w:rPr>
              <w:t>-7</w:t>
            </w:r>
            <w:r>
              <w:t>cm/s），或2mm厚的高密度聚乙烯，或至少2mm厚的其它人工材料（渗透系数≤10</w:t>
            </w:r>
            <w:r>
              <w:rPr>
                <w:vertAlign w:val="superscript"/>
              </w:rPr>
              <w:t>-10</w:t>
            </w:r>
            <w:r>
              <w:t>cm/s）。</w:t>
            </w:r>
            <w:r>
              <w:rPr>
                <w:rFonts w:hint="eastAsia" w:cs="Times New Roman"/>
                <w:szCs w:val="21"/>
              </w:rPr>
              <w:t>危险废物要防风、防雨、防晒。</w:t>
            </w:r>
          </w:p>
          <w:p>
            <w:pPr>
              <w:ind w:firstLine="480"/>
            </w:pPr>
            <w:r>
              <w:t>b、危险废物暂存间周边应设计建造径流疏导系统，保证能防止50年一遇的暴雨不会流入到危险废物暂存间内。</w:t>
            </w:r>
          </w:p>
          <w:p>
            <w:pPr>
              <w:ind w:firstLine="480"/>
            </w:pPr>
            <w:r>
              <w:t>c、危险废物暂存间内设置废水导排管道或渠道，将冲洗废水纳入废水处理设施处理；</w:t>
            </w:r>
          </w:p>
          <w:p>
            <w:pPr>
              <w:ind w:firstLine="480"/>
            </w:pPr>
            <w:r>
              <w:t>d、设施内要有安全照明设施和观察窗口。</w:t>
            </w:r>
          </w:p>
          <w:p>
            <w:pPr>
              <w:ind w:firstLine="480"/>
            </w:pPr>
            <w:r>
              <w:t>e、应设计堵截泄漏的裙脚，地面与裙脚所围建的容积不低于堵截最大容器的最大储量或总储量的五分之一。</w:t>
            </w:r>
          </w:p>
          <w:p>
            <w:pPr>
              <w:ind w:firstLine="480"/>
            </w:pPr>
            <w:r>
              <w:t>f、不同种类危险废物应有明显的过道划分，墙上张贴危废名称，液态危废需将成装容器放至防泄漏托盘内并在容器粘贴危险废物标签，固态危废包装需完好无破损并系挂危险废物标签，并安要求填写。</w:t>
            </w:r>
          </w:p>
          <w:p>
            <w:pPr>
              <w:ind w:firstLine="482"/>
              <w:rPr>
                <w:b/>
                <w:bCs/>
              </w:rPr>
            </w:pPr>
            <w:r>
              <w:rPr>
                <w:b/>
                <w:bCs/>
              </w:rPr>
              <w:t>危险废物堆放要求</w:t>
            </w:r>
            <w:r>
              <w:rPr>
                <w:rFonts w:hint="eastAsia"/>
                <w:b/>
                <w:bCs/>
              </w:rPr>
              <w:t>：</w:t>
            </w:r>
          </w:p>
          <w:p>
            <w:pPr>
              <w:ind w:firstLine="480"/>
            </w:pPr>
            <w:r>
              <w:t>a.本项目</w:t>
            </w:r>
            <w:r>
              <w:rPr>
                <w:rFonts w:hint="eastAsia"/>
              </w:rPr>
              <w:t>液态</w:t>
            </w:r>
            <w:r>
              <w:t>类废物，要存放在专用容器内，盛装危险废物的容器必须粘贴危险废物种类标识。</w:t>
            </w:r>
          </w:p>
          <w:p>
            <w:pPr>
              <w:spacing w:line="460" w:lineRule="exact"/>
              <w:ind w:firstLine="480"/>
            </w:pPr>
            <w:r>
              <w:t>b.</w:t>
            </w:r>
            <w:r>
              <w:rPr>
                <w:rFonts w:hint="eastAsia"/>
              </w:rPr>
              <w:t>各危废在场内分类堆存，各类危废堆存场地之间设隔离墙。</w:t>
            </w:r>
            <w:r>
              <w:t>暂存间设置明显的贮存危险废物种类标识和警示标识，并在暂存间周围显著处标记</w:t>
            </w:r>
            <w:r>
              <w:rPr>
                <w:rFonts w:hint="eastAsia"/>
              </w:rPr>
              <w:t>“</w:t>
            </w:r>
            <w:r>
              <w:t>严禁烟火</w:t>
            </w:r>
            <w:r>
              <w:rPr>
                <w:rFonts w:hint="eastAsia"/>
              </w:rPr>
              <w:t>”</w:t>
            </w:r>
            <w:r>
              <w:t>的禁示牌。</w:t>
            </w:r>
          </w:p>
          <w:p>
            <w:pPr>
              <w:ind w:firstLine="480"/>
            </w:pPr>
            <w:r>
              <w:t>c.厂内要有专人管理危险废物，危险废物出入贮存场前，应登记造册，做好记录，注明危险废物的名称、来源、数量、特性、入库日期、出库日期、接受单位等。</w:t>
            </w:r>
          </w:p>
          <w:p>
            <w:pPr>
              <w:ind w:firstLine="480"/>
              <w:rPr>
                <w:rFonts w:cs="Times New Roman"/>
                <w:szCs w:val="21"/>
              </w:rPr>
            </w:pPr>
            <w:r>
              <w:t>d.定期对所贮存的危险废物包装容器及贮存设施进行检查，发现破损及时清理更换。</w:t>
            </w:r>
          </w:p>
          <w:p>
            <w:pPr>
              <w:ind w:firstLine="482"/>
              <w:rPr>
                <w:b/>
                <w:bCs/>
              </w:rPr>
            </w:pPr>
            <w:r>
              <w:rPr>
                <w:b/>
                <w:bCs/>
              </w:rPr>
              <w:t>危险废物的转运</w:t>
            </w:r>
            <w:r>
              <w:rPr>
                <w:rFonts w:hint="eastAsia"/>
                <w:b/>
                <w:bCs/>
              </w:rPr>
              <w:t>：</w:t>
            </w:r>
          </w:p>
          <w:p>
            <w:pPr>
              <w:ind w:firstLine="480"/>
            </w:pPr>
            <w:r>
              <w:rPr>
                <w:rFonts w:cs="Times New Roman"/>
                <w:szCs w:val="21"/>
              </w:rPr>
              <w:t>危</w:t>
            </w:r>
            <w:r>
              <w:t>险废物应及时转运，废物转移时应遵守《危险化学品安全管理条例》和《危险废物转移联单管理办法》要求，作好废物的记录登记交接工作。</w:t>
            </w:r>
          </w:p>
          <w:p>
            <w:pPr>
              <w:ind w:firstLine="480"/>
            </w:pPr>
            <w:r>
              <w:t>同时，危险废物应按照国家有关规定向当地环境保护行政主管部门申报登记，接受当地环境保护行政主管部门监督管理。</w:t>
            </w:r>
          </w:p>
          <w:p>
            <w:pPr>
              <w:ind w:firstLine="482"/>
              <w:rPr>
                <w:b/>
                <w:bCs/>
              </w:rPr>
            </w:pPr>
            <w:r>
              <w:rPr>
                <w:b/>
                <w:bCs/>
              </w:rPr>
              <w:t>标牌标识要求</w:t>
            </w:r>
            <w:r>
              <w:rPr>
                <w:rFonts w:hint="eastAsia"/>
                <w:b/>
                <w:bCs/>
              </w:rPr>
              <w:t>：</w:t>
            </w:r>
          </w:p>
          <w:p>
            <w:pPr>
              <w:ind w:firstLine="480"/>
              <w:rPr>
                <w:b/>
                <w:bCs/>
              </w:rPr>
            </w:pPr>
            <w:r>
              <w:t>贮存场所应设置警示标志，危废的容器和包装物必须粘贴危废识别标志，配备称重设备。</w:t>
            </w:r>
          </w:p>
          <w:p>
            <w:pPr>
              <w:ind w:firstLine="482"/>
              <w:rPr>
                <w:b/>
                <w:bCs/>
              </w:rPr>
            </w:pPr>
            <w:r>
              <w:rPr>
                <w:b/>
                <w:bCs/>
              </w:rPr>
              <w:t>日常危废管理：</w:t>
            </w:r>
          </w:p>
          <w:p>
            <w:pPr>
              <w:ind w:firstLine="480"/>
            </w:pPr>
            <w:r>
              <w:t>根据《危险废物贮存污染控制标准》（GB18597-2001）及</w:t>
            </w:r>
            <w:r>
              <w:rPr>
                <w:rFonts w:hint="eastAsia"/>
              </w:rPr>
              <w:t>2013年修改单</w:t>
            </w:r>
            <w:r>
              <w:t>的规定，评价要求在厂区内设危险废物暂存场所，另外根据《危险废物转移联单管理办法》（国家环境保护总局令第5号）、《关于印发&lt;危险废物规范化管理指标体系&gt;的通知》（环办[2015]99号）的要求，评价对项目产生的危险废物的贮存、管理提出如下要求：</w:t>
            </w:r>
          </w:p>
          <w:p>
            <w:pPr>
              <w:ind w:firstLine="480"/>
            </w:pPr>
            <w:r>
              <w:t>a.废物必须装入符合标准的容器内；</w:t>
            </w:r>
          </w:p>
          <w:p>
            <w:pPr>
              <w:ind w:firstLine="480"/>
            </w:pPr>
            <w:r>
              <w:t>b.装载容器内必须留足够的空间，容器顶部与液体表面之间保留100mm以上的空间；</w:t>
            </w:r>
          </w:p>
          <w:p>
            <w:pPr>
              <w:ind w:firstLine="480"/>
            </w:pPr>
            <w:r>
              <w:t>c.盛装危险废物的容器上必须粘贴符合《危险废物贮存污染控制标准》（GB18597-2001）附录A所示的标签；</w:t>
            </w:r>
          </w:p>
          <w:p>
            <w:pPr>
              <w:ind w:firstLine="480"/>
            </w:pPr>
            <w:r>
              <w:t>d.危险废物暂存库房不得接收未粘贴上述规定的标签或标签填写不规范的危险废物；</w:t>
            </w:r>
          </w:p>
          <w:p>
            <w:pPr>
              <w:ind w:firstLine="480"/>
            </w:pPr>
            <w:r>
              <w:t>e.必须作好危险废物记录，记录上须注明危险废物的名称、来源、数量、特性和包装容器的类别、入库日期、存放库位、废物出库日期及接收单位名称；危险废物的记录和货单在危险废物回取后应继续保留三年；</w:t>
            </w:r>
          </w:p>
          <w:p>
            <w:pPr>
              <w:ind w:firstLine="480"/>
            </w:pPr>
            <w:r>
              <w:t>f.必须定期对所贮存的危险废物包装容器及贮存设施进行检查，发现破损，应及时采取措施清理更换；</w:t>
            </w:r>
          </w:p>
          <w:p>
            <w:pPr>
              <w:ind w:firstLine="480"/>
            </w:pPr>
            <w:r>
              <w:t>g.危险废物贮存库房设置灭火器等防火设备，做好火灾的预防工作；</w:t>
            </w:r>
          </w:p>
          <w:p>
            <w:pPr>
              <w:ind w:firstLine="480"/>
            </w:pPr>
            <w:r>
              <w:t>h.在转移危险废物前，建设单位须按照国家有关规定报批危险废物转移计划；经批准后，产生单位应当向当地环境保护行政主管部门申请领取国务院环境保护行政主管部门统一制定的联单。并在危险废物转移前三日内报告当地环境保护行政主管部门，并同时将预期到达时间报告接受地环境保护行政主管部门；</w:t>
            </w:r>
          </w:p>
          <w:p>
            <w:pPr>
              <w:ind w:firstLine="480"/>
            </w:pPr>
            <w:r>
              <w:t>i.建设单位必须如实填写联单中产生单位栏目，并加盖公章，经交付危险废物运输单位核实验收签字后，将联单第一联副联自留存档，将联单第二联交当地环境保护行政主管部门，联单第一联正联及其余各联交付运输单位随危险废物转移运行；</w:t>
            </w:r>
          </w:p>
          <w:p>
            <w:pPr>
              <w:ind w:firstLine="480"/>
            </w:pPr>
            <w:r>
              <w:t>j.联单保存期限为五年；贮存危险废物，其联单保存期限与危险废物贮存期限相同。</w:t>
            </w:r>
          </w:p>
          <w:p>
            <w:pPr>
              <w:ind w:firstLine="480"/>
            </w:pPr>
            <w:r>
              <w:t>k.建设单位应当建立、健全污染环境防治责任制度，采取防治工业固体废物污染环境的措施。</w:t>
            </w:r>
          </w:p>
          <w:p>
            <w:pPr>
              <w:ind w:firstLine="480"/>
            </w:pPr>
            <w:r>
              <w:t>l.收集、贮存、运输、危险废物的设施、场所，必须设置危险废物识别标志。</w:t>
            </w:r>
          </w:p>
          <w:p>
            <w:pPr>
              <w:ind w:firstLine="480"/>
            </w:pPr>
            <w:r>
              <w:t>m.企业应制定相应的危险废物管理计划，减少危险废物产生量和危害性的措施，以及危险废物贮存、处置措施。</w:t>
            </w:r>
          </w:p>
          <w:p>
            <w:pPr>
              <w:ind w:firstLine="480"/>
            </w:pPr>
            <w:r>
              <w:t>n.企业制定的危险废物管理计划应报所在当地环境保护局备案。危险废物管理计划内容有重大改变的，应当及时申报。</w:t>
            </w:r>
          </w:p>
          <w:p>
            <w:pPr>
              <w:ind w:firstLine="480"/>
            </w:pPr>
            <w:r>
              <w:t>o.企业应如实地向当地环境保护局申报危险废物的种类、产生量、流向、贮存、处置等有关资料。申报事项有重大改变的，应当及时申报。</w:t>
            </w:r>
          </w:p>
          <w:p>
            <w:pPr>
              <w:ind w:firstLine="480"/>
            </w:pPr>
            <w:r>
              <w:t>p.企业应制定环境风险评估报告和突发环境事件应急预案，并定期演练。</w:t>
            </w:r>
          </w:p>
          <w:p>
            <w:pPr>
              <w:ind w:firstLine="480"/>
            </w:pPr>
            <w:r>
              <w:t>q.环境风险评估报告和突发环境事件应急预案应报当地</w:t>
            </w:r>
            <w:r>
              <w:rPr>
                <w:rFonts w:hint="eastAsia"/>
              </w:rPr>
              <w:t>生态环境局</w:t>
            </w:r>
            <w:r>
              <w:t>备案。</w:t>
            </w:r>
          </w:p>
          <w:p>
            <w:pPr>
              <w:ind w:firstLine="480"/>
            </w:pPr>
            <w:r>
              <w:rPr>
                <w:rFonts w:hint="eastAsia"/>
              </w:rPr>
              <w:t>本项目产生的固废在采取相应的污染防治措施后，可以得到综合利用和合理处置，对周围环境的影响较小。</w:t>
            </w:r>
          </w:p>
          <w:p>
            <w:pPr>
              <w:pStyle w:val="5"/>
            </w:pPr>
            <w:r>
              <w:rPr>
                <w:rFonts w:hint="eastAsia"/>
              </w:rPr>
              <w:t>4.5.2固体废物排放统计</w:t>
            </w:r>
          </w:p>
          <w:p>
            <w:pPr>
              <w:spacing w:line="420" w:lineRule="exact"/>
              <w:ind w:firstLine="480"/>
              <w:rPr>
                <w:bCs/>
                <w:szCs w:val="21"/>
              </w:rPr>
            </w:pPr>
            <w:r>
              <w:rPr>
                <w:rFonts w:hint="eastAsia"/>
              </w:rPr>
              <w:t>全厂</w:t>
            </w:r>
            <w:r>
              <w:rPr>
                <w:bCs/>
                <w:szCs w:val="21"/>
              </w:rPr>
              <w:t>固废排放统计见表4-</w:t>
            </w:r>
            <w:r>
              <w:rPr>
                <w:rFonts w:hint="eastAsia"/>
                <w:bCs/>
                <w:szCs w:val="21"/>
              </w:rPr>
              <w:t>11</w:t>
            </w:r>
            <w:r>
              <w:rPr>
                <w:bCs/>
                <w:szCs w:val="21"/>
              </w:rPr>
              <w:t>。</w:t>
            </w:r>
          </w:p>
          <w:p>
            <w:pPr>
              <w:spacing w:line="240" w:lineRule="auto"/>
              <w:ind w:firstLine="0" w:firstLineChars="0"/>
              <w:jc w:val="center"/>
              <w:rPr>
                <w:b/>
                <w:bCs/>
                <w:sz w:val="21"/>
                <w:szCs w:val="28"/>
              </w:rPr>
            </w:pPr>
            <w:r>
              <w:rPr>
                <w:b/>
                <w:bCs/>
                <w:sz w:val="21"/>
                <w:szCs w:val="28"/>
              </w:rPr>
              <w:t>表4-</w:t>
            </w:r>
            <w:r>
              <w:rPr>
                <w:rFonts w:hint="eastAsia"/>
                <w:b/>
                <w:bCs/>
                <w:sz w:val="21"/>
                <w:szCs w:val="28"/>
              </w:rPr>
              <w:t>11</w:t>
            </w:r>
            <w:r>
              <w:rPr>
                <w:b/>
                <w:bCs/>
                <w:sz w:val="21"/>
                <w:szCs w:val="28"/>
              </w:rPr>
              <w:t xml:space="preserve">  </w:t>
            </w:r>
            <w:r>
              <w:rPr>
                <w:rFonts w:hint="eastAsia"/>
                <w:b/>
                <w:bCs/>
                <w:sz w:val="21"/>
                <w:szCs w:val="28"/>
              </w:rPr>
              <w:t>全厂</w:t>
            </w:r>
            <w:r>
              <w:rPr>
                <w:b/>
                <w:bCs/>
                <w:sz w:val="21"/>
                <w:szCs w:val="28"/>
              </w:rPr>
              <w:t>固体废物污染源源强核算结果一览表</w:t>
            </w:r>
          </w:p>
          <w:tbl>
            <w:tblPr>
              <w:tblStyle w:val="3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4"/>
              <w:gridCol w:w="736"/>
              <w:gridCol w:w="726"/>
              <w:gridCol w:w="943"/>
              <w:gridCol w:w="749"/>
              <w:gridCol w:w="930"/>
              <w:gridCol w:w="820"/>
              <w:gridCol w:w="665"/>
              <w:gridCol w:w="1357"/>
              <w:gridCol w:w="9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202" w:type="pct"/>
                  <w:vMerge w:val="restart"/>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序号</w:t>
                  </w:r>
                </w:p>
              </w:tc>
              <w:tc>
                <w:tcPr>
                  <w:tcW w:w="446" w:type="pct"/>
                  <w:vMerge w:val="restart"/>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固体废物名称</w:t>
                  </w:r>
                </w:p>
              </w:tc>
              <w:tc>
                <w:tcPr>
                  <w:tcW w:w="440" w:type="pct"/>
                  <w:vMerge w:val="restart"/>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固废</w:t>
                  </w:r>
                </w:p>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属性</w:t>
                  </w:r>
                </w:p>
              </w:tc>
              <w:tc>
                <w:tcPr>
                  <w:tcW w:w="571" w:type="pct"/>
                  <w:vMerge w:val="restart"/>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有毒有</w:t>
                  </w:r>
                </w:p>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害物质</w:t>
                  </w:r>
                </w:p>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名称</w:t>
                  </w:r>
                </w:p>
              </w:tc>
              <w:tc>
                <w:tcPr>
                  <w:tcW w:w="454" w:type="pct"/>
                  <w:vMerge w:val="restart"/>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物理</w:t>
                  </w:r>
                </w:p>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性状</w:t>
                  </w:r>
                </w:p>
              </w:tc>
              <w:tc>
                <w:tcPr>
                  <w:tcW w:w="563" w:type="pct"/>
                  <w:vMerge w:val="restart"/>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产生量</w:t>
                  </w:r>
                </w:p>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（t/a）</w:t>
                  </w:r>
                </w:p>
              </w:tc>
              <w:tc>
                <w:tcPr>
                  <w:tcW w:w="900" w:type="pct"/>
                  <w:gridSpan w:val="2"/>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贮存</w:t>
                  </w:r>
                </w:p>
              </w:tc>
              <w:tc>
                <w:tcPr>
                  <w:tcW w:w="1420" w:type="pct"/>
                  <w:gridSpan w:val="2"/>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利用处置方式及去向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202" w:type="pct"/>
                  <w:vMerge w:val="continue"/>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p>
              </w:tc>
              <w:tc>
                <w:tcPr>
                  <w:tcW w:w="446" w:type="pct"/>
                  <w:vMerge w:val="continue"/>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p>
              </w:tc>
              <w:tc>
                <w:tcPr>
                  <w:tcW w:w="440" w:type="pct"/>
                  <w:vMerge w:val="continue"/>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p>
              </w:tc>
              <w:tc>
                <w:tcPr>
                  <w:tcW w:w="571" w:type="pct"/>
                  <w:vMerge w:val="continue"/>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p>
              </w:tc>
              <w:tc>
                <w:tcPr>
                  <w:tcW w:w="454" w:type="pct"/>
                  <w:vMerge w:val="continue"/>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p>
              </w:tc>
              <w:tc>
                <w:tcPr>
                  <w:tcW w:w="563" w:type="pct"/>
                  <w:vMerge w:val="continue"/>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p>
              </w:tc>
              <w:tc>
                <w:tcPr>
                  <w:tcW w:w="497" w:type="pct"/>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方式</w:t>
                  </w:r>
                </w:p>
              </w:tc>
              <w:tc>
                <w:tcPr>
                  <w:tcW w:w="403" w:type="pct"/>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位置</w:t>
                  </w:r>
                </w:p>
              </w:tc>
              <w:tc>
                <w:tcPr>
                  <w:tcW w:w="822" w:type="pct"/>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去向</w:t>
                  </w:r>
                </w:p>
              </w:tc>
              <w:tc>
                <w:tcPr>
                  <w:tcW w:w="597" w:type="pct"/>
                  <w:tcBorders>
                    <w:bottom w:val="single" w:color="auto" w:sz="12" w:space="0"/>
                  </w:tcBorders>
                  <w:vAlign w:val="center"/>
                </w:tcPr>
                <w:p>
                  <w:pPr>
                    <w:pStyle w:val="106"/>
                    <w:spacing w:line="240" w:lineRule="auto"/>
                    <w:ind w:firstLine="0" w:firstLineChars="0"/>
                    <w:rPr>
                      <w:rFonts w:ascii="Times New Roman" w:hAnsi="Times New Roman"/>
                      <w:b/>
                      <w:bCs/>
                      <w:w w:val="100"/>
                      <w:sz w:val="21"/>
                      <w:szCs w:val="20"/>
                    </w:rPr>
                  </w:pPr>
                  <w:r>
                    <w:rPr>
                      <w:rFonts w:hint="eastAsia" w:ascii="Times New Roman" w:hAnsi="Times New Roman"/>
                      <w:b/>
                      <w:bCs/>
                      <w:w w:val="100"/>
                      <w:sz w:val="21"/>
                      <w:szCs w:val="20"/>
                    </w:rPr>
                    <w:t>处置</w:t>
                  </w:r>
                  <w:r>
                    <w:rPr>
                      <w:rFonts w:ascii="Times New Roman" w:hAnsi="Times New Roman"/>
                      <w:b/>
                      <w:bCs/>
                      <w:w w:val="100"/>
                      <w:sz w:val="21"/>
                      <w:szCs w:val="20"/>
                    </w:rPr>
                    <w:t>量</w:t>
                  </w:r>
                </w:p>
                <w:p>
                  <w:pPr>
                    <w:pStyle w:val="106"/>
                    <w:spacing w:line="240" w:lineRule="auto"/>
                    <w:ind w:firstLine="0" w:firstLineChars="0"/>
                    <w:rPr>
                      <w:rFonts w:ascii="Times New Roman" w:hAnsi="Times New Roman"/>
                      <w:b/>
                      <w:bCs/>
                      <w:w w:val="100"/>
                      <w:sz w:val="21"/>
                      <w:szCs w:val="20"/>
                    </w:rPr>
                  </w:pPr>
                  <w:r>
                    <w:rPr>
                      <w:rFonts w:ascii="Times New Roman" w:hAnsi="Times New Roman"/>
                      <w:b/>
                      <w:bCs/>
                      <w:w w:val="100"/>
                      <w:sz w:val="21"/>
                      <w:szCs w:val="20"/>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202"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1</w:t>
                  </w:r>
                </w:p>
              </w:tc>
              <w:tc>
                <w:tcPr>
                  <w:tcW w:w="446" w:type="pct"/>
                  <w:tcBorders>
                    <w:top w:val="single" w:color="auto" w:sz="12" w:space="0"/>
                    <w:bottom w:val="single" w:color="auto" w:sz="4" w:space="0"/>
                  </w:tcBorders>
                  <w:vAlign w:val="center"/>
                </w:tcPr>
                <w:p>
                  <w:pPr>
                    <w:widowControl/>
                    <w:adjustRightInd w:val="0"/>
                    <w:snapToGrid w:val="0"/>
                    <w:spacing w:line="240" w:lineRule="auto"/>
                    <w:ind w:firstLine="0" w:firstLineChars="0"/>
                    <w:jc w:val="center"/>
                    <w:rPr>
                      <w:sz w:val="21"/>
                      <w:szCs w:val="20"/>
                    </w:rPr>
                  </w:pPr>
                  <w:r>
                    <w:rPr>
                      <w:rFonts w:hint="eastAsia" w:cs="Times New Roman"/>
                      <w:sz w:val="21"/>
                      <w:szCs w:val="21"/>
                    </w:rPr>
                    <w:t>生活垃圾</w:t>
                  </w:r>
                </w:p>
              </w:tc>
              <w:tc>
                <w:tcPr>
                  <w:tcW w:w="440"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生活</w:t>
                  </w:r>
                </w:p>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垃圾</w:t>
                  </w:r>
                </w:p>
              </w:tc>
              <w:tc>
                <w:tcPr>
                  <w:tcW w:w="571"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w:t>
                  </w:r>
                </w:p>
              </w:tc>
              <w:tc>
                <w:tcPr>
                  <w:tcW w:w="454"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固</w:t>
                  </w:r>
                  <w:r>
                    <w:rPr>
                      <w:rFonts w:hint="eastAsia" w:ascii="Times New Roman" w:hAnsi="Times New Roman"/>
                      <w:w w:val="100"/>
                      <w:sz w:val="21"/>
                      <w:szCs w:val="20"/>
                    </w:rPr>
                    <w:t>体</w:t>
                  </w:r>
                </w:p>
              </w:tc>
              <w:tc>
                <w:tcPr>
                  <w:tcW w:w="563"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4.5</w:t>
                  </w:r>
                </w:p>
              </w:tc>
              <w:tc>
                <w:tcPr>
                  <w:tcW w:w="497"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加盖垃圾筒</w:t>
                  </w:r>
                </w:p>
              </w:tc>
              <w:tc>
                <w:tcPr>
                  <w:tcW w:w="403"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厂区</w:t>
                  </w:r>
                </w:p>
              </w:tc>
              <w:tc>
                <w:tcPr>
                  <w:tcW w:w="822"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当地环卫部门转运和处置</w:t>
                  </w:r>
                </w:p>
              </w:tc>
              <w:tc>
                <w:tcPr>
                  <w:tcW w:w="597" w:type="pct"/>
                  <w:tcBorders>
                    <w:top w:val="single" w:color="auto" w:sz="12"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202"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2</w:t>
                  </w:r>
                </w:p>
              </w:tc>
              <w:tc>
                <w:tcPr>
                  <w:tcW w:w="446" w:type="pct"/>
                  <w:tcBorders>
                    <w:top w:val="single" w:color="auto" w:sz="4" w:space="0"/>
                    <w:bottom w:val="single" w:color="auto" w:sz="4" w:space="0"/>
                  </w:tcBorders>
                  <w:vAlign w:val="center"/>
                </w:tcPr>
                <w:p>
                  <w:pPr>
                    <w:pStyle w:val="42"/>
                    <w:spacing w:line="240" w:lineRule="auto"/>
                    <w:ind w:firstLine="0" w:firstLineChars="0"/>
                    <w:jc w:val="center"/>
                    <w:rPr>
                      <w:color w:val="auto"/>
                      <w:sz w:val="21"/>
                      <w:szCs w:val="21"/>
                    </w:rPr>
                  </w:pPr>
                  <w:r>
                    <w:rPr>
                      <w:rFonts w:hint="eastAsia"/>
                      <w:color w:val="auto"/>
                      <w:sz w:val="21"/>
                      <w:szCs w:val="21"/>
                    </w:rPr>
                    <w:t>废</w:t>
                  </w:r>
                </w:p>
                <w:p>
                  <w:pPr>
                    <w:pStyle w:val="42"/>
                    <w:spacing w:line="240" w:lineRule="auto"/>
                    <w:ind w:firstLine="0" w:firstLineChars="0"/>
                    <w:jc w:val="center"/>
                    <w:rPr>
                      <w:color w:val="auto"/>
                      <w:sz w:val="21"/>
                      <w:szCs w:val="20"/>
                    </w:rPr>
                  </w:pPr>
                  <w:r>
                    <w:rPr>
                      <w:rFonts w:hint="eastAsia"/>
                      <w:color w:val="auto"/>
                      <w:sz w:val="21"/>
                      <w:szCs w:val="21"/>
                    </w:rPr>
                    <w:t>机油</w:t>
                  </w:r>
                </w:p>
              </w:tc>
              <w:tc>
                <w:tcPr>
                  <w:tcW w:w="440"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危废废物</w:t>
                  </w:r>
                </w:p>
              </w:tc>
              <w:tc>
                <w:tcPr>
                  <w:tcW w:w="571"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废矿</w:t>
                  </w:r>
                </w:p>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物油</w:t>
                  </w:r>
                </w:p>
              </w:tc>
              <w:tc>
                <w:tcPr>
                  <w:tcW w:w="454"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液</w:t>
                  </w:r>
                  <w:r>
                    <w:rPr>
                      <w:rFonts w:hint="eastAsia" w:ascii="Times New Roman" w:hAnsi="Times New Roman"/>
                      <w:w w:val="100"/>
                      <w:sz w:val="21"/>
                      <w:szCs w:val="20"/>
                    </w:rPr>
                    <w:t>态</w:t>
                  </w:r>
                </w:p>
              </w:tc>
              <w:tc>
                <w:tcPr>
                  <w:tcW w:w="563"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0.1</w:t>
                  </w:r>
                </w:p>
              </w:tc>
              <w:tc>
                <w:tcPr>
                  <w:tcW w:w="497"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170kg/桶</w:t>
                  </w:r>
                </w:p>
              </w:tc>
              <w:tc>
                <w:tcPr>
                  <w:tcW w:w="403" w:type="pct"/>
                  <w:vMerge w:val="restart"/>
                  <w:tcBorders>
                    <w:top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危废暂存间</w:t>
                  </w:r>
                </w:p>
              </w:tc>
              <w:tc>
                <w:tcPr>
                  <w:tcW w:w="822" w:type="pct"/>
                  <w:vMerge w:val="restart"/>
                  <w:tcBorders>
                    <w:top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有资质的单位进行转运和处置</w:t>
                  </w:r>
                </w:p>
              </w:tc>
              <w:tc>
                <w:tcPr>
                  <w:tcW w:w="597"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202"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3</w:t>
                  </w:r>
                </w:p>
              </w:tc>
              <w:tc>
                <w:tcPr>
                  <w:tcW w:w="446" w:type="pct"/>
                  <w:tcBorders>
                    <w:top w:val="single" w:color="auto" w:sz="4" w:space="0"/>
                    <w:bottom w:val="single" w:color="auto" w:sz="4" w:space="0"/>
                  </w:tcBorders>
                  <w:vAlign w:val="center"/>
                </w:tcPr>
                <w:p>
                  <w:pPr>
                    <w:pStyle w:val="42"/>
                    <w:spacing w:line="240" w:lineRule="auto"/>
                    <w:ind w:firstLine="0" w:firstLineChars="0"/>
                    <w:jc w:val="center"/>
                    <w:rPr>
                      <w:color w:val="auto"/>
                      <w:sz w:val="21"/>
                      <w:szCs w:val="21"/>
                    </w:rPr>
                  </w:pPr>
                  <w:r>
                    <w:rPr>
                      <w:rFonts w:hint="eastAsia"/>
                      <w:color w:val="auto"/>
                      <w:sz w:val="21"/>
                      <w:szCs w:val="21"/>
                    </w:rPr>
                    <w:t>废液压油</w:t>
                  </w:r>
                </w:p>
              </w:tc>
              <w:tc>
                <w:tcPr>
                  <w:tcW w:w="440"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危废废物</w:t>
                  </w:r>
                </w:p>
              </w:tc>
              <w:tc>
                <w:tcPr>
                  <w:tcW w:w="571"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废矿</w:t>
                  </w:r>
                </w:p>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物油</w:t>
                  </w:r>
                </w:p>
              </w:tc>
              <w:tc>
                <w:tcPr>
                  <w:tcW w:w="454"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液</w:t>
                  </w:r>
                  <w:r>
                    <w:rPr>
                      <w:rFonts w:hint="eastAsia" w:ascii="Times New Roman" w:hAnsi="Times New Roman"/>
                      <w:w w:val="100"/>
                      <w:sz w:val="21"/>
                      <w:szCs w:val="20"/>
                    </w:rPr>
                    <w:t>态</w:t>
                  </w:r>
                </w:p>
              </w:tc>
              <w:tc>
                <w:tcPr>
                  <w:tcW w:w="563"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0</w:t>
                  </w:r>
                  <w:r>
                    <w:rPr>
                      <w:rFonts w:ascii="Times New Roman" w:hAnsi="Times New Roman"/>
                      <w:w w:val="100"/>
                      <w:sz w:val="21"/>
                      <w:szCs w:val="20"/>
                    </w:rPr>
                    <w:t>.64</w:t>
                  </w:r>
                </w:p>
              </w:tc>
              <w:tc>
                <w:tcPr>
                  <w:tcW w:w="497"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1</w:t>
                  </w:r>
                  <w:r>
                    <w:rPr>
                      <w:rFonts w:ascii="Times New Roman" w:hAnsi="Times New Roman"/>
                      <w:w w:val="100"/>
                      <w:sz w:val="21"/>
                      <w:szCs w:val="20"/>
                    </w:rPr>
                    <w:t>6</w:t>
                  </w:r>
                  <w:r>
                    <w:rPr>
                      <w:rFonts w:hint="eastAsia" w:ascii="Times New Roman" w:hAnsi="Times New Roman"/>
                      <w:w w:val="100"/>
                      <w:sz w:val="21"/>
                      <w:szCs w:val="20"/>
                    </w:rPr>
                    <w:t>0kg/桶</w:t>
                  </w:r>
                </w:p>
              </w:tc>
              <w:tc>
                <w:tcPr>
                  <w:tcW w:w="403" w:type="pct"/>
                  <w:vMerge w:val="continue"/>
                  <w:vAlign w:val="center"/>
                </w:tcPr>
                <w:p>
                  <w:pPr>
                    <w:pStyle w:val="106"/>
                    <w:spacing w:line="240" w:lineRule="auto"/>
                    <w:ind w:firstLine="0" w:firstLineChars="0"/>
                    <w:rPr>
                      <w:rFonts w:ascii="Times New Roman" w:hAnsi="Times New Roman"/>
                      <w:w w:val="100"/>
                      <w:sz w:val="21"/>
                      <w:szCs w:val="20"/>
                    </w:rPr>
                  </w:pPr>
                </w:p>
              </w:tc>
              <w:tc>
                <w:tcPr>
                  <w:tcW w:w="822" w:type="pct"/>
                  <w:vMerge w:val="continue"/>
                  <w:vAlign w:val="center"/>
                </w:tcPr>
                <w:p>
                  <w:pPr>
                    <w:pStyle w:val="106"/>
                    <w:spacing w:line="240" w:lineRule="auto"/>
                    <w:ind w:firstLine="0" w:firstLineChars="0"/>
                    <w:rPr>
                      <w:rFonts w:ascii="Times New Roman" w:hAnsi="Times New Roman"/>
                      <w:w w:val="100"/>
                      <w:sz w:val="21"/>
                      <w:szCs w:val="20"/>
                    </w:rPr>
                  </w:pPr>
                </w:p>
              </w:tc>
              <w:tc>
                <w:tcPr>
                  <w:tcW w:w="597"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0</w:t>
                  </w:r>
                  <w:r>
                    <w:rPr>
                      <w:rFonts w:ascii="Times New Roman" w:hAnsi="Times New Roman"/>
                      <w:w w:val="100"/>
                      <w:sz w:val="21"/>
                      <w:szCs w:val="20"/>
                    </w:rPr>
                    <w:t>.64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202"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4</w:t>
                  </w:r>
                </w:p>
              </w:tc>
              <w:tc>
                <w:tcPr>
                  <w:tcW w:w="446" w:type="pct"/>
                  <w:tcBorders>
                    <w:top w:val="single" w:color="auto" w:sz="4" w:space="0"/>
                    <w:bottom w:val="single" w:color="auto" w:sz="4" w:space="0"/>
                  </w:tcBorders>
                  <w:vAlign w:val="center"/>
                </w:tcPr>
                <w:p>
                  <w:pPr>
                    <w:pStyle w:val="42"/>
                    <w:spacing w:line="240" w:lineRule="auto"/>
                    <w:ind w:firstLine="0" w:firstLineChars="0"/>
                    <w:jc w:val="center"/>
                    <w:rPr>
                      <w:color w:val="auto"/>
                      <w:sz w:val="21"/>
                      <w:szCs w:val="21"/>
                    </w:rPr>
                  </w:pPr>
                  <w:r>
                    <w:rPr>
                      <w:rFonts w:hint="eastAsia"/>
                      <w:color w:val="auto"/>
                      <w:sz w:val="21"/>
                      <w:szCs w:val="21"/>
                    </w:rPr>
                    <w:t>废油桶</w:t>
                  </w:r>
                </w:p>
              </w:tc>
              <w:tc>
                <w:tcPr>
                  <w:tcW w:w="440"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危废废物</w:t>
                  </w:r>
                </w:p>
              </w:tc>
              <w:tc>
                <w:tcPr>
                  <w:tcW w:w="571"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废矿</w:t>
                  </w:r>
                </w:p>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物油</w:t>
                  </w:r>
                </w:p>
              </w:tc>
              <w:tc>
                <w:tcPr>
                  <w:tcW w:w="454"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固</w:t>
                  </w:r>
                  <w:r>
                    <w:rPr>
                      <w:rFonts w:hint="eastAsia" w:ascii="Times New Roman" w:hAnsi="Times New Roman"/>
                      <w:w w:val="100"/>
                      <w:sz w:val="21"/>
                      <w:szCs w:val="20"/>
                    </w:rPr>
                    <w:t>体</w:t>
                  </w:r>
                </w:p>
              </w:tc>
              <w:tc>
                <w:tcPr>
                  <w:tcW w:w="563"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0.095，19kg/桶</w:t>
                  </w:r>
                </w:p>
              </w:tc>
              <w:tc>
                <w:tcPr>
                  <w:tcW w:w="497"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w:t>
                  </w:r>
                </w:p>
              </w:tc>
              <w:tc>
                <w:tcPr>
                  <w:tcW w:w="403" w:type="pct"/>
                  <w:vMerge w:val="continue"/>
                  <w:vAlign w:val="center"/>
                </w:tcPr>
                <w:p>
                  <w:pPr>
                    <w:pStyle w:val="106"/>
                    <w:spacing w:line="240" w:lineRule="auto"/>
                    <w:ind w:firstLine="0" w:firstLineChars="0"/>
                    <w:rPr>
                      <w:rFonts w:ascii="Times New Roman" w:hAnsi="Times New Roman"/>
                      <w:w w:val="100"/>
                      <w:sz w:val="21"/>
                      <w:szCs w:val="20"/>
                    </w:rPr>
                  </w:pPr>
                </w:p>
              </w:tc>
              <w:tc>
                <w:tcPr>
                  <w:tcW w:w="822" w:type="pct"/>
                  <w:vMerge w:val="continue"/>
                  <w:vAlign w:val="center"/>
                </w:tcPr>
                <w:p>
                  <w:pPr>
                    <w:pStyle w:val="106"/>
                    <w:spacing w:line="240" w:lineRule="auto"/>
                    <w:ind w:firstLine="0" w:firstLineChars="0"/>
                    <w:rPr>
                      <w:rFonts w:ascii="Times New Roman" w:hAnsi="Times New Roman"/>
                      <w:w w:val="100"/>
                      <w:sz w:val="21"/>
                      <w:szCs w:val="20"/>
                    </w:rPr>
                  </w:pPr>
                </w:p>
              </w:tc>
              <w:tc>
                <w:tcPr>
                  <w:tcW w:w="597"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0.095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202"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5</w:t>
                  </w:r>
                </w:p>
              </w:tc>
              <w:tc>
                <w:tcPr>
                  <w:tcW w:w="446" w:type="pct"/>
                  <w:tcBorders>
                    <w:top w:val="single" w:color="auto" w:sz="4" w:space="0"/>
                    <w:bottom w:val="single" w:color="auto" w:sz="4" w:space="0"/>
                  </w:tcBorders>
                  <w:vAlign w:val="center"/>
                </w:tcPr>
                <w:p>
                  <w:pPr>
                    <w:pStyle w:val="42"/>
                    <w:spacing w:line="240" w:lineRule="auto"/>
                    <w:ind w:firstLine="0" w:firstLineChars="0"/>
                    <w:jc w:val="center"/>
                    <w:rPr>
                      <w:color w:val="auto"/>
                      <w:sz w:val="21"/>
                      <w:szCs w:val="21"/>
                    </w:rPr>
                  </w:pPr>
                  <w:r>
                    <w:rPr>
                      <w:rFonts w:hint="eastAsia"/>
                      <w:color w:val="auto"/>
                      <w:sz w:val="21"/>
                      <w:szCs w:val="21"/>
                    </w:rPr>
                    <w:t>废手套、废棉纱</w:t>
                  </w:r>
                </w:p>
              </w:tc>
              <w:tc>
                <w:tcPr>
                  <w:tcW w:w="440"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危废废物</w:t>
                  </w:r>
                </w:p>
              </w:tc>
              <w:tc>
                <w:tcPr>
                  <w:tcW w:w="571"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废矿</w:t>
                  </w:r>
                </w:p>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物油</w:t>
                  </w:r>
                </w:p>
              </w:tc>
              <w:tc>
                <w:tcPr>
                  <w:tcW w:w="454"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固</w:t>
                  </w:r>
                  <w:r>
                    <w:rPr>
                      <w:rFonts w:hint="eastAsia" w:ascii="Times New Roman" w:hAnsi="Times New Roman"/>
                      <w:w w:val="100"/>
                      <w:sz w:val="21"/>
                      <w:szCs w:val="20"/>
                    </w:rPr>
                    <w:t>体</w:t>
                  </w:r>
                </w:p>
              </w:tc>
              <w:tc>
                <w:tcPr>
                  <w:tcW w:w="563"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0.01</w:t>
                  </w:r>
                </w:p>
              </w:tc>
              <w:tc>
                <w:tcPr>
                  <w:tcW w:w="497"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袋装</w:t>
                  </w:r>
                </w:p>
              </w:tc>
              <w:tc>
                <w:tcPr>
                  <w:tcW w:w="403" w:type="pct"/>
                  <w:vMerge w:val="continue"/>
                  <w:vAlign w:val="center"/>
                </w:tcPr>
                <w:p>
                  <w:pPr>
                    <w:pStyle w:val="106"/>
                    <w:spacing w:line="240" w:lineRule="auto"/>
                    <w:ind w:firstLine="0" w:firstLineChars="0"/>
                    <w:rPr>
                      <w:rFonts w:ascii="Times New Roman" w:hAnsi="Times New Roman"/>
                      <w:w w:val="100"/>
                      <w:sz w:val="21"/>
                      <w:szCs w:val="20"/>
                    </w:rPr>
                  </w:pPr>
                </w:p>
              </w:tc>
              <w:tc>
                <w:tcPr>
                  <w:tcW w:w="822" w:type="pct"/>
                  <w:vMerge w:val="continue"/>
                  <w:vAlign w:val="center"/>
                </w:tcPr>
                <w:p>
                  <w:pPr>
                    <w:pStyle w:val="106"/>
                    <w:spacing w:line="240" w:lineRule="auto"/>
                    <w:ind w:firstLine="0" w:firstLineChars="0"/>
                    <w:rPr>
                      <w:rFonts w:ascii="Times New Roman" w:hAnsi="Times New Roman"/>
                      <w:w w:val="100"/>
                      <w:sz w:val="21"/>
                      <w:szCs w:val="20"/>
                    </w:rPr>
                  </w:pPr>
                </w:p>
              </w:tc>
              <w:tc>
                <w:tcPr>
                  <w:tcW w:w="597" w:type="pct"/>
                  <w:tcBorders>
                    <w:top w:val="single" w:color="auto" w:sz="4" w:space="0"/>
                    <w:bottom w:val="single" w:color="auto" w:sz="4" w:space="0"/>
                  </w:tcBorders>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202" w:type="pct"/>
                  <w:tcBorders>
                    <w:top w:val="single" w:color="auto" w:sz="4" w:space="0"/>
                    <w:bottom w:val="single" w:color="auto" w:sz="12" w:space="0"/>
                  </w:tcBorders>
                  <w:vAlign w:val="center"/>
                </w:tcPr>
                <w:p>
                  <w:pPr>
                    <w:pStyle w:val="106"/>
                    <w:spacing w:line="240" w:lineRule="auto"/>
                    <w:ind w:firstLine="0" w:firstLineChars="0"/>
                    <w:rPr>
                      <w:rFonts w:hint="eastAsia" w:ascii="Times New Roman" w:hAnsi="Times New Roman" w:eastAsia="宋体"/>
                      <w:w w:val="100"/>
                      <w:sz w:val="21"/>
                      <w:szCs w:val="20"/>
                      <w:lang w:val="en-US" w:eastAsia="zh-CN"/>
                    </w:rPr>
                  </w:pPr>
                  <w:r>
                    <w:rPr>
                      <w:rFonts w:hint="eastAsia" w:ascii="Times New Roman" w:hAnsi="Times New Roman"/>
                      <w:w w:val="100"/>
                      <w:sz w:val="21"/>
                      <w:szCs w:val="20"/>
                      <w:lang w:val="en-US" w:eastAsia="zh-CN"/>
                    </w:rPr>
                    <w:t>6</w:t>
                  </w:r>
                </w:p>
              </w:tc>
              <w:tc>
                <w:tcPr>
                  <w:tcW w:w="446" w:type="pct"/>
                  <w:tcBorders>
                    <w:top w:val="single" w:color="auto" w:sz="4" w:space="0"/>
                    <w:bottom w:val="single" w:color="auto" w:sz="12" w:space="0"/>
                  </w:tcBorders>
                  <w:vAlign w:val="center"/>
                </w:tcPr>
                <w:p>
                  <w:pPr>
                    <w:pStyle w:val="42"/>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粘有矿物油的废布袋</w:t>
                  </w:r>
                </w:p>
              </w:tc>
              <w:tc>
                <w:tcPr>
                  <w:tcW w:w="440" w:type="pct"/>
                  <w:tcBorders>
                    <w:top w:val="single" w:color="auto" w:sz="4" w:space="0"/>
                    <w:bottom w:val="single" w:color="auto" w:sz="12" w:space="0"/>
                  </w:tcBorders>
                  <w:vAlign w:val="center"/>
                </w:tcPr>
                <w:p>
                  <w:pPr>
                    <w:pStyle w:val="106"/>
                    <w:spacing w:line="240" w:lineRule="auto"/>
                    <w:ind w:firstLine="0" w:firstLineChars="0"/>
                    <w:rPr>
                      <w:rFonts w:hint="eastAsia" w:ascii="Times New Roman" w:hAnsi="Times New Roman"/>
                      <w:w w:val="100"/>
                      <w:sz w:val="21"/>
                      <w:szCs w:val="20"/>
                    </w:rPr>
                  </w:pPr>
                  <w:r>
                    <w:rPr>
                      <w:rFonts w:hint="eastAsia" w:ascii="Times New Roman" w:hAnsi="Times New Roman"/>
                      <w:w w:val="100"/>
                      <w:sz w:val="21"/>
                      <w:szCs w:val="20"/>
                    </w:rPr>
                    <w:t>危废废物</w:t>
                  </w:r>
                </w:p>
              </w:tc>
              <w:tc>
                <w:tcPr>
                  <w:tcW w:w="571" w:type="pct"/>
                  <w:tcBorders>
                    <w:top w:val="single" w:color="auto" w:sz="4" w:space="0"/>
                    <w:bottom w:val="single" w:color="auto" w:sz="12"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废矿</w:t>
                  </w:r>
                </w:p>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物油</w:t>
                  </w:r>
                </w:p>
              </w:tc>
              <w:tc>
                <w:tcPr>
                  <w:tcW w:w="454" w:type="pct"/>
                  <w:tcBorders>
                    <w:top w:val="single" w:color="auto" w:sz="4" w:space="0"/>
                    <w:bottom w:val="single" w:color="auto" w:sz="12" w:space="0"/>
                  </w:tcBorders>
                  <w:vAlign w:val="center"/>
                </w:tcPr>
                <w:p>
                  <w:pPr>
                    <w:pStyle w:val="106"/>
                    <w:spacing w:line="240" w:lineRule="auto"/>
                    <w:ind w:firstLine="0" w:firstLineChars="0"/>
                    <w:rPr>
                      <w:rFonts w:ascii="Times New Roman" w:hAnsi="Times New Roman"/>
                      <w:w w:val="100"/>
                      <w:sz w:val="21"/>
                      <w:szCs w:val="20"/>
                    </w:rPr>
                  </w:pPr>
                  <w:r>
                    <w:rPr>
                      <w:rFonts w:ascii="Times New Roman" w:hAnsi="Times New Roman"/>
                      <w:w w:val="100"/>
                      <w:sz w:val="21"/>
                      <w:szCs w:val="20"/>
                    </w:rPr>
                    <w:t>固</w:t>
                  </w:r>
                  <w:r>
                    <w:rPr>
                      <w:rFonts w:hint="eastAsia" w:ascii="Times New Roman" w:hAnsi="Times New Roman"/>
                      <w:w w:val="100"/>
                      <w:sz w:val="21"/>
                      <w:szCs w:val="20"/>
                    </w:rPr>
                    <w:t>体</w:t>
                  </w:r>
                </w:p>
              </w:tc>
              <w:tc>
                <w:tcPr>
                  <w:tcW w:w="563" w:type="pct"/>
                  <w:tcBorders>
                    <w:top w:val="single" w:color="auto" w:sz="4" w:space="0"/>
                    <w:bottom w:val="single" w:color="auto" w:sz="12" w:space="0"/>
                  </w:tcBorders>
                  <w:vAlign w:val="center"/>
                </w:tcPr>
                <w:p>
                  <w:pPr>
                    <w:pStyle w:val="106"/>
                    <w:spacing w:line="240" w:lineRule="auto"/>
                    <w:ind w:firstLine="0" w:firstLineChars="0"/>
                    <w:rPr>
                      <w:rFonts w:hint="eastAsia" w:ascii="Times New Roman" w:hAnsi="Times New Roman" w:eastAsia="宋体"/>
                      <w:w w:val="100"/>
                      <w:sz w:val="21"/>
                      <w:szCs w:val="20"/>
                      <w:lang w:eastAsia="zh-CN"/>
                    </w:rPr>
                  </w:pPr>
                  <w:r>
                    <w:rPr>
                      <w:rFonts w:hint="eastAsia" w:ascii="Times New Roman" w:hAnsi="Times New Roman"/>
                      <w:w w:val="100"/>
                      <w:sz w:val="21"/>
                      <w:szCs w:val="20"/>
                      <w:lang w:val="en-US" w:eastAsia="zh-CN"/>
                    </w:rPr>
                    <w:t>1</w:t>
                  </w:r>
                </w:p>
              </w:tc>
              <w:tc>
                <w:tcPr>
                  <w:tcW w:w="497" w:type="pct"/>
                  <w:tcBorders>
                    <w:top w:val="single" w:color="auto" w:sz="4" w:space="0"/>
                    <w:bottom w:val="single" w:color="auto" w:sz="12" w:space="0"/>
                  </w:tcBorders>
                  <w:vAlign w:val="center"/>
                </w:tcPr>
                <w:p>
                  <w:pPr>
                    <w:pStyle w:val="106"/>
                    <w:spacing w:line="240" w:lineRule="auto"/>
                    <w:ind w:firstLine="0" w:firstLineChars="0"/>
                    <w:rPr>
                      <w:rFonts w:hint="eastAsia" w:ascii="Times New Roman" w:hAnsi="Times New Roman"/>
                      <w:w w:val="100"/>
                      <w:sz w:val="21"/>
                      <w:szCs w:val="20"/>
                    </w:rPr>
                  </w:pPr>
                  <w:r>
                    <w:rPr>
                      <w:rFonts w:hint="eastAsia" w:ascii="Times New Roman" w:hAnsi="Times New Roman"/>
                      <w:w w:val="100"/>
                      <w:sz w:val="21"/>
                      <w:szCs w:val="20"/>
                    </w:rPr>
                    <w:t>袋装</w:t>
                  </w:r>
                </w:p>
              </w:tc>
              <w:tc>
                <w:tcPr>
                  <w:tcW w:w="403" w:type="pct"/>
                  <w:vMerge w:val="continue"/>
                  <w:tcBorders>
                    <w:bottom w:val="single" w:color="auto" w:sz="12" w:space="0"/>
                  </w:tcBorders>
                  <w:vAlign w:val="center"/>
                </w:tcPr>
                <w:p>
                  <w:pPr>
                    <w:pStyle w:val="106"/>
                    <w:spacing w:line="240" w:lineRule="auto"/>
                    <w:ind w:firstLine="0" w:firstLineChars="0"/>
                    <w:rPr>
                      <w:rFonts w:ascii="Times New Roman" w:hAnsi="Times New Roman"/>
                      <w:w w:val="100"/>
                      <w:sz w:val="21"/>
                      <w:szCs w:val="20"/>
                    </w:rPr>
                  </w:pPr>
                </w:p>
              </w:tc>
              <w:tc>
                <w:tcPr>
                  <w:tcW w:w="822" w:type="pct"/>
                  <w:vMerge w:val="continue"/>
                  <w:tcBorders>
                    <w:bottom w:val="single" w:color="auto" w:sz="12" w:space="0"/>
                  </w:tcBorders>
                  <w:vAlign w:val="center"/>
                </w:tcPr>
                <w:p>
                  <w:pPr>
                    <w:pStyle w:val="106"/>
                    <w:spacing w:line="240" w:lineRule="auto"/>
                    <w:ind w:firstLine="0" w:firstLineChars="0"/>
                    <w:rPr>
                      <w:rFonts w:ascii="Times New Roman" w:hAnsi="Times New Roman"/>
                      <w:w w:val="100"/>
                      <w:sz w:val="21"/>
                      <w:szCs w:val="20"/>
                    </w:rPr>
                  </w:pPr>
                </w:p>
              </w:tc>
              <w:tc>
                <w:tcPr>
                  <w:tcW w:w="597" w:type="pct"/>
                  <w:tcBorders>
                    <w:top w:val="single" w:color="auto" w:sz="4" w:space="0"/>
                    <w:bottom w:val="single" w:color="auto" w:sz="12" w:space="0"/>
                  </w:tcBorders>
                  <w:vAlign w:val="center"/>
                </w:tcPr>
                <w:p>
                  <w:pPr>
                    <w:pStyle w:val="106"/>
                    <w:spacing w:line="240" w:lineRule="auto"/>
                    <w:ind w:firstLine="0" w:firstLineChars="0"/>
                    <w:rPr>
                      <w:rFonts w:hint="eastAsia" w:ascii="Times New Roman" w:hAnsi="Times New Roman" w:eastAsia="宋体"/>
                      <w:w w:val="100"/>
                      <w:sz w:val="21"/>
                      <w:szCs w:val="20"/>
                      <w:lang w:val="en-US" w:eastAsia="zh-CN"/>
                    </w:rPr>
                  </w:pPr>
                  <w:r>
                    <w:rPr>
                      <w:rFonts w:hint="eastAsia" w:ascii="Times New Roman" w:hAnsi="Times New Roman"/>
                      <w:w w:val="100"/>
                      <w:sz w:val="21"/>
                      <w:szCs w:val="20"/>
                      <w:lang w:val="en-US" w:eastAsia="zh-CN"/>
                    </w:rPr>
                    <w:t>1</w:t>
                  </w:r>
                </w:p>
              </w:tc>
            </w:tr>
          </w:tbl>
          <w:p>
            <w:pPr>
              <w:pStyle w:val="4"/>
            </w:pPr>
            <w:r>
              <w:rPr>
                <w:rFonts w:hint="eastAsia"/>
              </w:rPr>
              <w:t>4.6地下水和土壤环境影响分析和保护措施</w:t>
            </w:r>
          </w:p>
          <w:p>
            <w:pPr>
              <w:pStyle w:val="5"/>
            </w:pPr>
            <w:r>
              <w:rPr>
                <w:rFonts w:hint="eastAsia"/>
              </w:rPr>
              <w:t>4.6.1</w:t>
            </w:r>
            <w:r>
              <w:t>污染源及污染途径</w:t>
            </w:r>
          </w:p>
          <w:p>
            <w:pPr>
              <w:ind w:firstLine="480"/>
              <w:rPr>
                <w:rFonts w:cs="Times New Roman"/>
                <w:szCs w:val="24"/>
              </w:rPr>
            </w:pPr>
            <w:r>
              <w:rPr>
                <w:rFonts w:hint="eastAsia" w:cs="Times New Roman"/>
                <w:szCs w:val="24"/>
              </w:rPr>
              <w:t>本项目运行期对地下水及土壤的主要污染源为危废暂存间。危废暂存间影响途径为防渗结构层老化或防渗效果不到位非正常状况下，导致废矿物质油下渗对地下水及土壤产生影响，废矿物油等危险废物乱堆乱放，造成雨水淋溶转入地表水体，并通过下渗影响到土壤和地下水环境。</w:t>
            </w:r>
          </w:p>
          <w:p>
            <w:pPr>
              <w:ind w:firstLine="480"/>
            </w:pPr>
            <w:r>
              <w:rPr>
                <w:rFonts w:hint="eastAsia"/>
              </w:rPr>
              <w:t>本次环评要求：建设单位对地下水及土壤潜在的污染源做分区防渗，防治污染地下水及土壤的事故发生。</w:t>
            </w:r>
          </w:p>
          <w:p>
            <w:pPr>
              <w:ind w:firstLine="480"/>
              <w:rPr>
                <w:rFonts w:cs="Times New Roman"/>
                <w:szCs w:val="24"/>
              </w:rPr>
            </w:pPr>
            <w:r>
              <w:rPr>
                <w:rFonts w:hint="eastAsia" w:cs="Times New Roman"/>
                <w:szCs w:val="24"/>
              </w:rPr>
              <w:t>采取上述措施后，不会对土壤和地下水产生明显影响。</w:t>
            </w:r>
          </w:p>
          <w:p>
            <w:pPr>
              <w:keepNext/>
              <w:keepLines/>
              <w:ind w:firstLine="0" w:firstLineChars="0"/>
              <w:jc w:val="left"/>
              <w:outlineLvl w:val="2"/>
              <w:rPr>
                <w:rFonts w:eastAsia="Times New Roman" w:cs="Times New Roman"/>
                <w:b/>
                <w:sz w:val="28"/>
                <w:szCs w:val="24"/>
              </w:rPr>
            </w:pPr>
            <w:r>
              <w:rPr>
                <w:rFonts w:hint="eastAsia" w:eastAsia="Times New Roman" w:cs="Times New Roman"/>
                <w:b/>
                <w:sz w:val="28"/>
                <w:szCs w:val="24"/>
              </w:rPr>
              <w:t>4.6.1分区防控措施</w:t>
            </w:r>
          </w:p>
          <w:p>
            <w:pPr>
              <w:ind w:firstLine="480"/>
              <w:rPr>
                <w:rFonts w:cs="Times New Roman"/>
                <w:szCs w:val="24"/>
              </w:rPr>
            </w:pPr>
            <w:r>
              <w:rPr>
                <w:rFonts w:hint="eastAsia" w:cs="Times New Roman"/>
                <w:szCs w:val="24"/>
              </w:rPr>
              <w:t>本项目采取分区防渗，防渗区划分为重点防渗区、一般防渗区和简单防渗区，防渗设计及施工应严格按照《地下工程防水技术规范》（GB50108-2008）中有关规定，按照不同分区要求实施，采取不同等级的防渗措施，并确保其可靠性和有效性。本项目分区防渗措施见表4-12。</w:t>
            </w:r>
          </w:p>
          <w:p>
            <w:pPr>
              <w:snapToGrid w:val="0"/>
              <w:spacing w:line="240" w:lineRule="auto"/>
              <w:ind w:firstLine="0" w:firstLineChars="0"/>
              <w:jc w:val="center"/>
              <w:rPr>
                <w:rFonts w:cs="Times New Roman"/>
                <w:b/>
                <w:bCs/>
                <w:sz w:val="21"/>
                <w:szCs w:val="24"/>
              </w:rPr>
            </w:pPr>
            <w:r>
              <w:rPr>
                <w:rFonts w:cs="Times New Roman"/>
                <w:b/>
                <w:bCs/>
                <w:sz w:val="21"/>
                <w:szCs w:val="24"/>
              </w:rPr>
              <w:t>表4-</w:t>
            </w:r>
            <w:r>
              <w:rPr>
                <w:rFonts w:hint="eastAsia" w:cs="Times New Roman"/>
                <w:b/>
                <w:bCs/>
                <w:sz w:val="21"/>
                <w:szCs w:val="24"/>
              </w:rPr>
              <w:t>12</w:t>
            </w:r>
            <w:r>
              <w:rPr>
                <w:rFonts w:cs="Times New Roman"/>
                <w:b/>
                <w:bCs/>
                <w:sz w:val="21"/>
                <w:szCs w:val="24"/>
              </w:rPr>
              <w:t xml:space="preserve">  本项目分区防渗措施一览表</w:t>
            </w:r>
          </w:p>
          <w:tbl>
            <w:tblPr>
              <w:tblStyle w:val="3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4"/>
              <w:gridCol w:w="1099"/>
              <w:gridCol w:w="1168"/>
              <w:gridCol w:w="2744"/>
              <w:gridCol w:w="2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299" w:type="pct"/>
                  <w:tcBorders>
                    <w:bottom w:val="single" w:color="auto" w:sz="12" w:space="0"/>
                  </w:tcBorders>
                  <w:vAlign w:val="center"/>
                </w:tcPr>
                <w:p>
                  <w:pPr>
                    <w:spacing w:line="240" w:lineRule="auto"/>
                    <w:ind w:firstLine="0" w:firstLineChars="0"/>
                    <w:jc w:val="center"/>
                    <w:rPr>
                      <w:rFonts w:cs="Times New Roman"/>
                      <w:b/>
                      <w:bCs/>
                      <w:kern w:val="0"/>
                      <w:sz w:val="21"/>
                      <w:szCs w:val="20"/>
                    </w:rPr>
                  </w:pPr>
                  <w:r>
                    <w:rPr>
                      <w:rFonts w:cs="Times New Roman"/>
                      <w:b/>
                      <w:bCs/>
                      <w:kern w:val="0"/>
                      <w:sz w:val="21"/>
                      <w:szCs w:val="20"/>
                    </w:rPr>
                    <w:t>序号</w:t>
                  </w:r>
                </w:p>
              </w:tc>
              <w:tc>
                <w:tcPr>
                  <w:tcW w:w="666" w:type="pct"/>
                  <w:tcBorders>
                    <w:bottom w:val="single" w:color="auto" w:sz="12" w:space="0"/>
                  </w:tcBorders>
                  <w:vAlign w:val="center"/>
                </w:tcPr>
                <w:p>
                  <w:pPr>
                    <w:spacing w:line="240" w:lineRule="auto"/>
                    <w:ind w:firstLine="0" w:firstLineChars="0"/>
                    <w:jc w:val="center"/>
                    <w:rPr>
                      <w:rFonts w:cs="Times New Roman"/>
                      <w:b/>
                      <w:bCs/>
                      <w:kern w:val="0"/>
                      <w:sz w:val="21"/>
                      <w:szCs w:val="20"/>
                    </w:rPr>
                  </w:pPr>
                  <w:r>
                    <w:rPr>
                      <w:rFonts w:cs="Times New Roman"/>
                      <w:b/>
                      <w:bCs/>
                      <w:kern w:val="0"/>
                      <w:sz w:val="21"/>
                      <w:szCs w:val="20"/>
                    </w:rPr>
                    <w:t>场地（区域）</w:t>
                  </w:r>
                </w:p>
              </w:tc>
              <w:tc>
                <w:tcPr>
                  <w:tcW w:w="707" w:type="pct"/>
                  <w:tcBorders>
                    <w:bottom w:val="single" w:color="auto" w:sz="12" w:space="0"/>
                  </w:tcBorders>
                  <w:vAlign w:val="center"/>
                </w:tcPr>
                <w:p>
                  <w:pPr>
                    <w:spacing w:line="240" w:lineRule="auto"/>
                    <w:ind w:firstLine="0" w:firstLineChars="0"/>
                    <w:jc w:val="center"/>
                    <w:rPr>
                      <w:rFonts w:cs="Times New Roman"/>
                      <w:b/>
                      <w:bCs/>
                      <w:kern w:val="0"/>
                      <w:sz w:val="21"/>
                      <w:szCs w:val="20"/>
                    </w:rPr>
                  </w:pPr>
                  <w:r>
                    <w:rPr>
                      <w:rFonts w:cs="Times New Roman"/>
                      <w:b/>
                      <w:bCs/>
                      <w:kern w:val="0"/>
                      <w:sz w:val="21"/>
                      <w:szCs w:val="20"/>
                    </w:rPr>
                    <w:t>防渗分区</w:t>
                  </w:r>
                </w:p>
              </w:tc>
              <w:tc>
                <w:tcPr>
                  <w:tcW w:w="1663" w:type="pct"/>
                  <w:tcBorders>
                    <w:bottom w:val="single" w:color="auto" w:sz="12" w:space="0"/>
                  </w:tcBorders>
                  <w:vAlign w:val="center"/>
                </w:tcPr>
                <w:p>
                  <w:pPr>
                    <w:spacing w:line="240" w:lineRule="auto"/>
                    <w:ind w:firstLine="0" w:firstLineChars="0"/>
                    <w:jc w:val="center"/>
                    <w:rPr>
                      <w:rFonts w:cs="Times New Roman"/>
                      <w:b/>
                      <w:bCs/>
                      <w:kern w:val="0"/>
                      <w:sz w:val="21"/>
                      <w:szCs w:val="20"/>
                    </w:rPr>
                  </w:pPr>
                  <w:r>
                    <w:rPr>
                      <w:rFonts w:cs="Times New Roman"/>
                      <w:b/>
                      <w:bCs/>
                      <w:kern w:val="0"/>
                      <w:sz w:val="21"/>
                      <w:szCs w:val="20"/>
                    </w:rPr>
                    <w:t>防渗技术要求</w:t>
                  </w:r>
                </w:p>
              </w:tc>
              <w:tc>
                <w:tcPr>
                  <w:tcW w:w="1663" w:type="pct"/>
                  <w:tcBorders>
                    <w:bottom w:val="single" w:color="auto" w:sz="12" w:space="0"/>
                  </w:tcBorders>
                  <w:vAlign w:val="center"/>
                </w:tcPr>
                <w:p>
                  <w:pPr>
                    <w:spacing w:line="240" w:lineRule="auto"/>
                    <w:ind w:firstLine="0" w:firstLineChars="0"/>
                    <w:jc w:val="center"/>
                    <w:rPr>
                      <w:rFonts w:cs="Times New Roman"/>
                      <w:b/>
                      <w:bCs/>
                      <w:kern w:val="0"/>
                      <w:sz w:val="21"/>
                      <w:szCs w:val="20"/>
                    </w:rPr>
                  </w:pPr>
                  <w:r>
                    <w:rPr>
                      <w:rFonts w:cs="Times New Roman"/>
                      <w:b/>
                      <w:bCs/>
                      <w:kern w:val="0"/>
                      <w:sz w:val="20"/>
                      <w:szCs w:val="20"/>
                    </w:rPr>
                    <w:t>防渗处理措施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299" w:type="pct"/>
                  <w:tcBorders>
                    <w:top w:val="single" w:color="auto" w:sz="12" w:space="0"/>
                    <w:bottom w:val="single" w:color="auto" w:sz="4" w:space="0"/>
                  </w:tcBorders>
                  <w:vAlign w:val="center"/>
                </w:tcPr>
                <w:p>
                  <w:pPr>
                    <w:spacing w:line="240" w:lineRule="auto"/>
                    <w:ind w:firstLine="0" w:firstLineChars="0"/>
                    <w:jc w:val="center"/>
                    <w:rPr>
                      <w:rFonts w:cs="Times New Roman"/>
                      <w:sz w:val="21"/>
                      <w:szCs w:val="20"/>
                    </w:rPr>
                  </w:pPr>
                  <w:r>
                    <w:rPr>
                      <w:rFonts w:cs="Times New Roman"/>
                      <w:sz w:val="21"/>
                      <w:szCs w:val="20"/>
                    </w:rPr>
                    <w:t>1</w:t>
                  </w:r>
                </w:p>
              </w:tc>
              <w:tc>
                <w:tcPr>
                  <w:tcW w:w="666" w:type="pct"/>
                  <w:tcBorders>
                    <w:top w:val="single" w:color="auto" w:sz="12" w:space="0"/>
                    <w:bottom w:val="single" w:color="auto" w:sz="4" w:space="0"/>
                  </w:tcBorders>
                  <w:vAlign w:val="center"/>
                </w:tcPr>
                <w:p>
                  <w:pPr>
                    <w:spacing w:line="240" w:lineRule="auto"/>
                    <w:ind w:firstLine="0" w:firstLineChars="0"/>
                    <w:jc w:val="center"/>
                    <w:rPr>
                      <w:rFonts w:hint="default" w:eastAsia="宋体" w:cs="Times New Roman"/>
                      <w:sz w:val="21"/>
                      <w:szCs w:val="20"/>
                      <w:lang w:val="en-US" w:eastAsia="zh-CN"/>
                    </w:rPr>
                  </w:pPr>
                  <w:r>
                    <w:rPr>
                      <w:rFonts w:cs="Times New Roman"/>
                      <w:sz w:val="21"/>
                      <w:szCs w:val="20"/>
                    </w:rPr>
                    <w:t>危废物暂存间</w:t>
                  </w:r>
                  <w:r>
                    <w:rPr>
                      <w:rFonts w:hint="eastAsia" w:cs="Times New Roman"/>
                      <w:sz w:val="21"/>
                      <w:szCs w:val="20"/>
                      <w:lang w:eastAsia="zh-CN"/>
                    </w:rPr>
                    <w:t>、</w:t>
                  </w:r>
                  <w:r>
                    <w:rPr>
                      <w:rFonts w:hint="eastAsia" w:cs="Times New Roman"/>
                      <w:color w:val="auto"/>
                      <w:sz w:val="21"/>
                      <w:szCs w:val="20"/>
                      <w:lang w:val="en-US" w:eastAsia="zh-CN"/>
                    </w:rPr>
                    <w:t>生产车间</w:t>
                  </w:r>
                </w:p>
              </w:tc>
              <w:tc>
                <w:tcPr>
                  <w:tcW w:w="707" w:type="pct"/>
                  <w:tcBorders>
                    <w:top w:val="single" w:color="auto" w:sz="12" w:space="0"/>
                    <w:bottom w:val="single" w:color="auto" w:sz="4" w:space="0"/>
                  </w:tcBorders>
                  <w:vAlign w:val="center"/>
                </w:tcPr>
                <w:p>
                  <w:pPr>
                    <w:spacing w:line="240" w:lineRule="auto"/>
                    <w:ind w:firstLine="0" w:firstLineChars="0"/>
                    <w:jc w:val="center"/>
                    <w:rPr>
                      <w:rFonts w:cs="Times New Roman"/>
                      <w:sz w:val="21"/>
                      <w:szCs w:val="20"/>
                    </w:rPr>
                  </w:pPr>
                  <w:r>
                    <w:rPr>
                      <w:rFonts w:cs="Times New Roman"/>
                      <w:sz w:val="21"/>
                      <w:szCs w:val="20"/>
                    </w:rPr>
                    <w:t>重点防渗区</w:t>
                  </w:r>
                </w:p>
              </w:tc>
              <w:tc>
                <w:tcPr>
                  <w:tcW w:w="1663" w:type="pct"/>
                  <w:tcBorders>
                    <w:top w:val="single" w:color="auto" w:sz="12" w:space="0"/>
                    <w:bottom w:val="single" w:color="auto" w:sz="4" w:space="0"/>
                  </w:tcBorders>
                  <w:vAlign w:val="center"/>
                </w:tcPr>
                <w:p>
                  <w:pPr>
                    <w:spacing w:line="240" w:lineRule="auto"/>
                    <w:ind w:firstLine="0" w:firstLineChars="0"/>
                    <w:jc w:val="center"/>
                    <w:rPr>
                      <w:rFonts w:cs="Times New Roman"/>
                      <w:spacing w:val="-4"/>
                      <w:sz w:val="21"/>
                      <w:szCs w:val="20"/>
                    </w:rPr>
                  </w:pPr>
                  <w:r>
                    <w:rPr>
                      <w:rFonts w:cs="Times New Roman"/>
                      <w:sz w:val="21"/>
                      <w:szCs w:val="20"/>
                    </w:rPr>
                    <w:t>等效粘土防渗层Mb≥6.0m</w:t>
                  </w:r>
                  <w:r>
                    <w:rPr>
                      <w:rFonts w:hint="eastAsia" w:cs="Times New Roman"/>
                      <w:sz w:val="21"/>
                      <w:szCs w:val="20"/>
                    </w:rPr>
                    <w:t>，</w:t>
                  </w:r>
                  <w:r>
                    <w:rPr>
                      <w:rFonts w:cs="Times New Roman"/>
                      <w:sz w:val="21"/>
                      <w:szCs w:val="20"/>
                    </w:rPr>
                    <w:t>K≤1×10</w:t>
                  </w:r>
                  <w:r>
                    <w:rPr>
                      <w:rFonts w:cs="Times New Roman"/>
                      <w:sz w:val="21"/>
                      <w:szCs w:val="20"/>
                      <w:vertAlign w:val="superscript"/>
                    </w:rPr>
                    <w:t>-</w:t>
                  </w:r>
                  <w:r>
                    <w:rPr>
                      <w:rFonts w:hint="eastAsia" w:cs="Times New Roman"/>
                      <w:sz w:val="21"/>
                      <w:szCs w:val="20"/>
                      <w:vertAlign w:val="superscript"/>
                    </w:rPr>
                    <w:t>10</w:t>
                  </w:r>
                  <w:r>
                    <w:rPr>
                      <w:rFonts w:cs="Times New Roman"/>
                      <w:sz w:val="21"/>
                      <w:szCs w:val="20"/>
                    </w:rPr>
                    <w:t>cm/s</w:t>
                  </w:r>
                </w:p>
              </w:tc>
              <w:tc>
                <w:tcPr>
                  <w:tcW w:w="1663" w:type="pct"/>
                  <w:tcBorders>
                    <w:top w:val="single" w:color="auto" w:sz="12" w:space="0"/>
                    <w:bottom w:val="single" w:color="auto" w:sz="4" w:space="0"/>
                  </w:tcBorders>
                  <w:vAlign w:val="center"/>
                </w:tcPr>
                <w:p>
                  <w:pPr>
                    <w:spacing w:line="240" w:lineRule="auto"/>
                    <w:ind w:firstLine="0" w:firstLineChars="0"/>
                    <w:jc w:val="center"/>
                    <w:rPr>
                      <w:rFonts w:cs="Times New Roman"/>
                      <w:sz w:val="21"/>
                      <w:szCs w:val="20"/>
                    </w:rPr>
                  </w:pPr>
                  <w:r>
                    <w:rPr>
                      <w:rFonts w:hint="eastAsia" w:cs="Times New Roman"/>
                      <w:sz w:val="21"/>
                      <w:szCs w:val="20"/>
                    </w:rPr>
                    <w:t>2mm厚高密度聚乙烯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299" w:type="pct"/>
                  <w:tcBorders>
                    <w:tl2br w:val="nil"/>
                    <w:tr2bl w:val="nil"/>
                  </w:tcBorders>
                  <w:vAlign w:val="center"/>
                </w:tcPr>
                <w:p>
                  <w:pPr>
                    <w:spacing w:line="240" w:lineRule="auto"/>
                    <w:ind w:firstLine="0" w:firstLineChars="0"/>
                    <w:jc w:val="center"/>
                    <w:rPr>
                      <w:rFonts w:cs="Times New Roman"/>
                      <w:kern w:val="0"/>
                      <w:sz w:val="21"/>
                      <w:szCs w:val="20"/>
                    </w:rPr>
                  </w:pPr>
                  <w:r>
                    <w:rPr>
                      <w:rFonts w:hint="eastAsia" w:cs="Times New Roman"/>
                      <w:kern w:val="0"/>
                      <w:sz w:val="21"/>
                      <w:szCs w:val="20"/>
                    </w:rPr>
                    <w:t>3</w:t>
                  </w:r>
                </w:p>
              </w:tc>
              <w:tc>
                <w:tcPr>
                  <w:tcW w:w="666" w:type="pct"/>
                  <w:tcBorders>
                    <w:tl2br w:val="nil"/>
                    <w:tr2bl w:val="nil"/>
                  </w:tcBorders>
                  <w:vAlign w:val="center"/>
                </w:tcPr>
                <w:p>
                  <w:pPr>
                    <w:spacing w:line="240" w:lineRule="auto"/>
                    <w:ind w:firstLine="0" w:firstLineChars="0"/>
                    <w:jc w:val="center"/>
                    <w:rPr>
                      <w:rFonts w:cs="Times New Roman"/>
                      <w:kern w:val="0"/>
                      <w:sz w:val="21"/>
                      <w:szCs w:val="20"/>
                    </w:rPr>
                  </w:pPr>
                  <w:r>
                    <w:rPr>
                      <w:rFonts w:cs="Times New Roman"/>
                      <w:kern w:val="0"/>
                      <w:sz w:val="21"/>
                      <w:szCs w:val="20"/>
                    </w:rPr>
                    <w:t>道路</w:t>
                  </w:r>
                </w:p>
              </w:tc>
              <w:tc>
                <w:tcPr>
                  <w:tcW w:w="707" w:type="pct"/>
                  <w:tcBorders>
                    <w:tl2br w:val="nil"/>
                    <w:tr2bl w:val="nil"/>
                  </w:tcBorders>
                  <w:vAlign w:val="center"/>
                </w:tcPr>
                <w:p>
                  <w:pPr>
                    <w:spacing w:line="240" w:lineRule="auto"/>
                    <w:ind w:firstLine="0" w:firstLineChars="0"/>
                    <w:jc w:val="center"/>
                    <w:rPr>
                      <w:rFonts w:cs="Times New Roman"/>
                      <w:kern w:val="0"/>
                      <w:sz w:val="21"/>
                      <w:szCs w:val="20"/>
                    </w:rPr>
                  </w:pPr>
                  <w:r>
                    <w:rPr>
                      <w:rFonts w:cs="Times New Roman"/>
                      <w:kern w:val="0"/>
                      <w:sz w:val="21"/>
                      <w:szCs w:val="20"/>
                    </w:rPr>
                    <w:t>简单防渗区</w:t>
                  </w:r>
                </w:p>
              </w:tc>
              <w:tc>
                <w:tcPr>
                  <w:tcW w:w="1663" w:type="pct"/>
                  <w:tcBorders>
                    <w:tl2br w:val="nil"/>
                    <w:tr2bl w:val="nil"/>
                  </w:tcBorders>
                  <w:vAlign w:val="center"/>
                </w:tcPr>
                <w:p>
                  <w:pPr>
                    <w:spacing w:line="240" w:lineRule="auto"/>
                    <w:ind w:firstLine="0" w:firstLineChars="0"/>
                    <w:jc w:val="center"/>
                    <w:rPr>
                      <w:rFonts w:cs="Times New Roman"/>
                      <w:spacing w:val="-4"/>
                      <w:sz w:val="21"/>
                      <w:szCs w:val="20"/>
                    </w:rPr>
                  </w:pPr>
                  <w:r>
                    <w:rPr>
                      <w:rFonts w:cs="Times New Roman"/>
                      <w:sz w:val="21"/>
                      <w:szCs w:val="20"/>
                    </w:rPr>
                    <w:t>一般地面硬化</w:t>
                  </w:r>
                </w:p>
              </w:tc>
              <w:tc>
                <w:tcPr>
                  <w:tcW w:w="1663" w:type="pct"/>
                  <w:tcBorders>
                    <w:tl2br w:val="nil"/>
                    <w:tr2bl w:val="nil"/>
                  </w:tcBorders>
                  <w:vAlign w:val="center"/>
                </w:tcPr>
                <w:p>
                  <w:pPr>
                    <w:spacing w:line="240" w:lineRule="auto"/>
                    <w:ind w:firstLine="0" w:firstLineChars="0"/>
                    <w:jc w:val="center"/>
                    <w:rPr>
                      <w:rFonts w:cs="Times New Roman"/>
                      <w:sz w:val="21"/>
                      <w:szCs w:val="20"/>
                    </w:rPr>
                  </w:pPr>
                  <w:r>
                    <w:rPr>
                      <w:rFonts w:hint="eastAsia" w:cs="Times New Roman"/>
                      <w:sz w:val="21"/>
                      <w:szCs w:val="20"/>
                    </w:rPr>
                    <w:t>硬化</w:t>
                  </w:r>
                </w:p>
              </w:tc>
            </w:tr>
          </w:tbl>
          <w:p>
            <w:pPr>
              <w:ind w:firstLine="482"/>
            </w:pPr>
            <w:r>
              <w:rPr>
                <w:rFonts w:hint="eastAsia"/>
                <w:b/>
                <w:bCs/>
              </w:rPr>
              <w:t>重点防渗区：</w:t>
            </w:r>
            <w:r>
              <w:rPr>
                <w:rFonts w:hint="eastAsia"/>
              </w:rPr>
              <w:t>高密度聚乙烯（</w:t>
            </w:r>
            <w:r>
              <w:t>HDPE</w:t>
            </w:r>
            <w:r>
              <w:rPr>
                <w:rFonts w:hint="eastAsia"/>
              </w:rPr>
              <w:t>）膜防渗层应符合下列规定：</w:t>
            </w:r>
          </w:p>
          <w:p>
            <w:pPr>
              <w:ind w:firstLine="480"/>
            </w:pPr>
            <w:r>
              <w:rPr>
                <w:rFonts w:hint="eastAsia"/>
              </w:rPr>
              <w:t>①高密度聚乙烯（</w:t>
            </w:r>
            <w:r>
              <w:t>HDPE</w:t>
            </w:r>
            <w:r>
              <w:rPr>
                <w:rFonts w:hint="eastAsia"/>
              </w:rPr>
              <w:t>）膜厚度不宜小于2.0</w:t>
            </w:r>
            <w:r>
              <w:t>mm</w:t>
            </w:r>
            <w:r>
              <w:rPr>
                <w:rFonts w:hint="eastAsia"/>
              </w:rPr>
              <w:t>，埋深不宜小于</w:t>
            </w:r>
            <w:r>
              <w:t>300mm</w:t>
            </w:r>
            <w:r>
              <w:rPr>
                <w:rFonts w:hint="eastAsia"/>
              </w:rPr>
              <w:t>。</w:t>
            </w:r>
          </w:p>
          <w:p>
            <w:pPr>
              <w:ind w:firstLine="480"/>
            </w:pPr>
            <w:r>
              <w:rPr>
                <w:rFonts w:hint="eastAsia"/>
              </w:rPr>
              <w:t>②膜上、膜下应设置保护层，保护层可采用长丝无纺土工布，膜下保护层也可采用不含尖锐颗粒的砂层，厚度不宜小于</w:t>
            </w:r>
            <w:r>
              <w:t>100mm</w:t>
            </w:r>
            <w:r>
              <w:rPr>
                <w:rFonts w:hint="eastAsia"/>
              </w:rPr>
              <w:t>。</w:t>
            </w:r>
          </w:p>
          <w:p>
            <w:pPr>
              <w:ind w:firstLine="480"/>
            </w:pPr>
            <w:r>
              <w:rPr>
                <w:rFonts w:hint="eastAsia"/>
              </w:rPr>
              <w:t>③膜上保护层以上应设置砂石层，厚度不宜小于</w:t>
            </w:r>
            <w:r>
              <w:t>200mm</w:t>
            </w:r>
            <w:r>
              <w:rPr>
                <w:rFonts w:hint="eastAsia"/>
              </w:rPr>
              <w:t>。</w:t>
            </w:r>
          </w:p>
          <w:p>
            <w:pPr>
              <w:ind w:firstLine="480"/>
            </w:pPr>
            <w:r>
              <w:drawing>
                <wp:anchor distT="0" distB="0" distL="114300" distR="114300" simplePos="0" relativeHeight="251660288" behindDoc="1" locked="0" layoutInCell="1" allowOverlap="1">
                  <wp:simplePos x="0" y="0"/>
                  <wp:positionH relativeFrom="column">
                    <wp:posOffset>106045</wp:posOffset>
                  </wp:positionH>
                  <wp:positionV relativeFrom="paragraph">
                    <wp:posOffset>259080</wp:posOffset>
                  </wp:positionV>
                  <wp:extent cx="5024755" cy="1413510"/>
                  <wp:effectExtent l="0" t="0" r="4445" b="15240"/>
                  <wp:wrapNone/>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5"/>
                          <a:stretch>
                            <a:fillRect/>
                          </a:stretch>
                        </pic:blipFill>
                        <pic:spPr>
                          <a:xfrm>
                            <a:off x="0" y="0"/>
                            <a:ext cx="5024755" cy="1413510"/>
                          </a:xfrm>
                          <a:prstGeom prst="rect">
                            <a:avLst/>
                          </a:prstGeom>
                          <a:noFill/>
                          <a:ln>
                            <a:noFill/>
                          </a:ln>
                        </pic:spPr>
                      </pic:pic>
                    </a:graphicData>
                  </a:graphic>
                </wp:anchor>
              </w:drawing>
            </w:r>
            <w:r>
              <w:rPr>
                <w:rFonts w:hint="eastAsia"/>
              </w:rPr>
              <w:t>重点防渗区结构示意图如下：</w:t>
            </w:r>
          </w:p>
          <w:p>
            <w:pPr>
              <w:ind w:firstLine="482"/>
              <w:jc w:val="center"/>
              <w:rPr>
                <w:rFonts w:cs="Times New Roman"/>
                <w:b/>
              </w:rPr>
            </w:pPr>
          </w:p>
          <w:p>
            <w:pPr>
              <w:ind w:firstLine="422"/>
              <w:rPr>
                <w:rFonts w:cs="Times New Roman"/>
                <w:b/>
                <w:sz w:val="21"/>
                <w:szCs w:val="21"/>
              </w:rPr>
            </w:pPr>
          </w:p>
          <w:p>
            <w:pPr>
              <w:ind w:firstLine="422"/>
              <w:rPr>
                <w:rFonts w:cs="Times New Roman"/>
                <w:b/>
                <w:sz w:val="21"/>
                <w:szCs w:val="21"/>
              </w:rPr>
            </w:pPr>
          </w:p>
          <w:p>
            <w:pPr>
              <w:ind w:firstLine="422"/>
              <w:rPr>
                <w:rFonts w:cs="Times New Roman"/>
                <w:b/>
                <w:sz w:val="21"/>
                <w:szCs w:val="21"/>
              </w:rPr>
            </w:pPr>
          </w:p>
          <w:p>
            <w:pPr>
              <w:ind w:firstLine="480"/>
              <w:rPr>
                <w:rFonts w:cs="Times New Roman"/>
                <w:b/>
                <w:sz w:val="21"/>
                <w:szCs w:val="21"/>
              </w:rPr>
            </w:pPr>
            <w:r>
              <w:drawing>
                <wp:anchor distT="0" distB="0" distL="114300" distR="114300" simplePos="0" relativeHeight="251660288" behindDoc="1" locked="0" layoutInCell="1" allowOverlap="1">
                  <wp:simplePos x="0" y="0"/>
                  <wp:positionH relativeFrom="column">
                    <wp:posOffset>883920</wp:posOffset>
                  </wp:positionH>
                  <wp:positionV relativeFrom="paragraph">
                    <wp:posOffset>33655</wp:posOffset>
                  </wp:positionV>
                  <wp:extent cx="3554095" cy="464185"/>
                  <wp:effectExtent l="0" t="0" r="8255" b="12065"/>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36"/>
                          <a:stretch>
                            <a:fillRect/>
                          </a:stretch>
                        </pic:blipFill>
                        <pic:spPr>
                          <a:xfrm>
                            <a:off x="0" y="0"/>
                            <a:ext cx="3554095" cy="464185"/>
                          </a:xfrm>
                          <a:prstGeom prst="rect">
                            <a:avLst/>
                          </a:prstGeom>
                          <a:noFill/>
                          <a:ln>
                            <a:noFill/>
                          </a:ln>
                        </pic:spPr>
                      </pic:pic>
                    </a:graphicData>
                  </a:graphic>
                </wp:anchor>
              </w:drawing>
            </w:r>
          </w:p>
          <w:p>
            <w:pPr>
              <w:spacing w:before="360" w:beforeLines="150" w:line="240" w:lineRule="auto"/>
              <w:ind w:firstLine="0" w:firstLineChars="0"/>
              <w:jc w:val="center"/>
            </w:pPr>
            <w:r>
              <w:rPr>
                <w:rFonts w:cs="Times New Roman"/>
                <w:b/>
                <w:sz w:val="21"/>
                <w:szCs w:val="21"/>
              </w:rPr>
              <w:t>图4-</w:t>
            </w:r>
            <w:r>
              <w:rPr>
                <w:rFonts w:hint="eastAsia" w:cs="Times New Roman"/>
                <w:b/>
                <w:sz w:val="21"/>
                <w:szCs w:val="21"/>
              </w:rPr>
              <w:t>1</w:t>
            </w:r>
            <w:r>
              <w:rPr>
                <w:rFonts w:cs="Times New Roman"/>
                <w:b/>
                <w:sz w:val="21"/>
                <w:szCs w:val="21"/>
              </w:rPr>
              <w:t xml:space="preserve">  </w:t>
            </w:r>
            <w:r>
              <w:rPr>
                <w:rFonts w:cs="Times New Roman"/>
                <w:b/>
                <w:kern w:val="0"/>
                <w:sz w:val="21"/>
                <w:szCs w:val="21"/>
                <w:lang w:bidi="ar"/>
              </w:rPr>
              <w:t>重点防渗区地面结构示意图</w:t>
            </w:r>
          </w:p>
          <w:p>
            <w:pPr>
              <w:ind w:firstLine="480"/>
              <w:rPr>
                <w:rFonts w:ascii="宋体" w:hAnsi="宋体" w:cs="宋体"/>
                <w:szCs w:val="24"/>
              </w:rPr>
            </w:pPr>
            <w:r>
              <w:rPr>
                <w:rFonts w:ascii="宋体" w:hAnsi="宋体" w:cs="宋体"/>
                <w:szCs w:val="24"/>
              </w:rPr>
              <w:t>其他措施：</w:t>
            </w:r>
          </w:p>
          <w:p>
            <w:pPr>
              <w:ind w:firstLine="480"/>
              <w:rPr>
                <w:rFonts w:ascii="宋体" w:hAnsi="宋体" w:cs="宋体"/>
                <w:szCs w:val="24"/>
              </w:rPr>
            </w:pPr>
            <w:r>
              <w:rPr>
                <w:rFonts w:ascii="宋体" w:hAnsi="宋体" w:cs="宋体"/>
                <w:szCs w:val="24"/>
              </w:rPr>
              <w:t>①项目污水管线采用耐腐塑料管材。</w:t>
            </w:r>
          </w:p>
          <w:p>
            <w:pPr>
              <w:ind w:firstLine="480"/>
            </w:pPr>
            <w:r>
              <w:rPr>
                <w:rFonts w:ascii="宋体" w:hAnsi="宋体" w:cs="宋体"/>
                <w:szCs w:val="24"/>
              </w:rPr>
              <w:t>②应急响应措施，包括一旦发现地下水污染事故，立即启动应急预案、采取应急措施控制地下水污染，并使污染得到治理。由污染途径及对应措施分析可知，项目对可能产生地下水、土壤影响的各项途径均进行有效预防，在确保各项防渗措施得以落实，并加强维护和厂区环境管理的前提下，可有效控制厂区内的废水污染物下渗现象，避免污染地下水、土壤，因此项目不会对区域地下水、土壤环境产生明显影响。</w:t>
            </w:r>
          </w:p>
          <w:p>
            <w:pPr>
              <w:pStyle w:val="4"/>
            </w:pPr>
            <w:r>
              <w:rPr>
                <w:rFonts w:hint="eastAsia"/>
              </w:rPr>
              <w:t>4.7环境风险</w:t>
            </w:r>
          </w:p>
          <w:p>
            <w:pPr>
              <w:pStyle w:val="5"/>
            </w:pPr>
            <w:r>
              <w:rPr>
                <w:rFonts w:hint="eastAsia"/>
              </w:rPr>
              <w:t>4.7.1风险物质</w:t>
            </w:r>
          </w:p>
          <w:p>
            <w:pPr>
              <w:ind w:firstLine="480"/>
            </w:pPr>
            <w:r>
              <w:rPr>
                <w:rFonts w:hint="eastAsia"/>
              </w:rPr>
              <w:t>本项目涉及的环境风险主要是风险物质的泄漏，以及火灾、爆炸等引发的伴生/次生污染物排放。</w:t>
            </w:r>
          </w:p>
          <w:p>
            <w:pPr>
              <w:ind w:firstLine="480"/>
            </w:pPr>
            <w:r>
              <w:rPr>
                <w:rFonts w:hint="eastAsia"/>
              </w:rPr>
              <w:t>本项目生产中使用的机油和液压油随用随购，不在厂区储存。厂区风险物质数量与临界量（Q）见表4-</w:t>
            </w:r>
            <w:r>
              <w:t>1</w:t>
            </w:r>
            <w:r>
              <w:rPr>
                <w:rFonts w:hint="eastAsia"/>
              </w:rPr>
              <w:t>3。</w:t>
            </w:r>
          </w:p>
          <w:p>
            <w:pPr>
              <w:pStyle w:val="42"/>
              <w:spacing w:line="240" w:lineRule="auto"/>
              <w:ind w:firstLine="0" w:firstLineChars="0"/>
              <w:jc w:val="center"/>
              <w:rPr>
                <w:b/>
                <w:color w:val="auto"/>
                <w:sz w:val="21"/>
              </w:rPr>
            </w:pPr>
            <w:r>
              <w:rPr>
                <w:rFonts w:hint="eastAsia"/>
                <w:b/>
                <w:color w:val="auto"/>
                <w:sz w:val="21"/>
              </w:rPr>
              <w:t>表4-</w:t>
            </w:r>
            <w:r>
              <w:rPr>
                <w:b/>
                <w:color w:val="auto"/>
                <w:sz w:val="21"/>
              </w:rPr>
              <w:t>1</w:t>
            </w:r>
            <w:r>
              <w:rPr>
                <w:rFonts w:hint="eastAsia"/>
                <w:b/>
                <w:color w:val="auto"/>
                <w:sz w:val="21"/>
              </w:rPr>
              <w:t>3  厂区风险物质数量与临界量（Q）</w:t>
            </w:r>
          </w:p>
          <w:tbl>
            <w:tblPr>
              <w:tblStyle w:val="3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7"/>
              <w:gridCol w:w="2333"/>
              <w:gridCol w:w="2411"/>
              <w:gridCol w:w="2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auto" w:sz="12" w:space="0"/>
                    <w:left w:val="nil"/>
                    <w:bottom w:val="single" w:color="auto" w:sz="12" w:space="0"/>
                    <w:right w:val="single" w:color="auto" w:sz="4" w:space="0"/>
                  </w:tcBorders>
                </w:tcPr>
                <w:p>
                  <w:pPr>
                    <w:autoSpaceDE w:val="0"/>
                    <w:spacing w:line="240" w:lineRule="auto"/>
                    <w:ind w:firstLine="0" w:firstLineChars="0"/>
                    <w:jc w:val="center"/>
                    <w:rPr>
                      <w:b/>
                      <w:bCs/>
                      <w:sz w:val="21"/>
                      <w:szCs w:val="21"/>
                    </w:rPr>
                  </w:pPr>
                  <w:r>
                    <w:rPr>
                      <w:rFonts w:hint="eastAsia"/>
                      <w:b/>
                      <w:bCs/>
                      <w:sz w:val="21"/>
                      <w:szCs w:val="21"/>
                    </w:rPr>
                    <w:t>名称</w:t>
                  </w:r>
                </w:p>
              </w:tc>
              <w:tc>
                <w:tcPr>
                  <w:tcW w:w="2333" w:type="dxa"/>
                  <w:tcBorders>
                    <w:top w:val="single" w:color="auto" w:sz="12" w:space="0"/>
                    <w:left w:val="single" w:color="auto" w:sz="4" w:space="0"/>
                    <w:bottom w:val="single" w:color="auto" w:sz="12" w:space="0"/>
                    <w:right w:val="single" w:color="auto" w:sz="4" w:space="0"/>
                  </w:tcBorders>
                </w:tcPr>
                <w:p>
                  <w:pPr>
                    <w:autoSpaceDE w:val="0"/>
                    <w:spacing w:line="240" w:lineRule="auto"/>
                    <w:ind w:firstLine="0" w:firstLineChars="0"/>
                    <w:jc w:val="center"/>
                    <w:rPr>
                      <w:b/>
                      <w:bCs/>
                      <w:sz w:val="21"/>
                      <w:szCs w:val="21"/>
                    </w:rPr>
                  </w:pPr>
                  <w:r>
                    <w:rPr>
                      <w:rFonts w:hint="eastAsia"/>
                      <w:b/>
                      <w:bCs/>
                      <w:sz w:val="21"/>
                      <w:szCs w:val="21"/>
                    </w:rPr>
                    <w:t>最大储存量（t）</w:t>
                  </w:r>
                </w:p>
              </w:tc>
              <w:tc>
                <w:tcPr>
                  <w:tcW w:w="2411" w:type="dxa"/>
                  <w:tcBorders>
                    <w:top w:val="single" w:color="auto" w:sz="12" w:space="0"/>
                    <w:left w:val="single" w:color="auto" w:sz="4" w:space="0"/>
                    <w:bottom w:val="single" w:color="auto" w:sz="12" w:space="0"/>
                    <w:right w:val="single" w:color="auto" w:sz="4" w:space="0"/>
                  </w:tcBorders>
                </w:tcPr>
                <w:p>
                  <w:pPr>
                    <w:autoSpaceDE w:val="0"/>
                    <w:spacing w:line="240" w:lineRule="auto"/>
                    <w:ind w:firstLine="0" w:firstLineChars="0"/>
                    <w:jc w:val="center"/>
                    <w:rPr>
                      <w:b/>
                      <w:bCs/>
                      <w:sz w:val="21"/>
                      <w:szCs w:val="21"/>
                    </w:rPr>
                  </w:pPr>
                  <w:r>
                    <w:rPr>
                      <w:rFonts w:hint="eastAsia"/>
                      <w:b/>
                      <w:bCs/>
                      <w:sz w:val="21"/>
                      <w:szCs w:val="21"/>
                    </w:rPr>
                    <w:t>临界量（t）</w:t>
                  </w:r>
                </w:p>
              </w:tc>
              <w:tc>
                <w:tcPr>
                  <w:tcW w:w="2059" w:type="dxa"/>
                  <w:tcBorders>
                    <w:top w:val="single" w:color="auto" w:sz="12" w:space="0"/>
                    <w:left w:val="single" w:color="auto" w:sz="4" w:space="0"/>
                    <w:bottom w:val="single" w:color="auto" w:sz="12" w:space="0"/>
                    <w:right w:val="nil"/>
                  </w:tcBorders>
                </w:tcPr>
                <w:p>
                  <w:pPr>
                    <w:autoSpaceDE w:val="0"/>
                    <w:spacing w:line="240" w:lineRule="auto"/>
                    <w:ind w:firstLine="0" w:firstLineChars="0"/>
                    <w:jc w:val="center"/>
                    <w:rPr>
                      <w:b/>
                      <w:bCs/>
                      <w:sz w:val="21"/>
                      <w:szCs w:val="21"/>
                    </w:rPr>
                  </w:pPr>
                  <w:r>
                    <w:rPr>
                      <w:rFonts w:hint="eastAsia"/>
                      <w:b/>
                      <w:bCs/>
                      <w:sz w:val="21"/>
                      <w:szCs w:val="21"/>
                    </w:rPr>
                    <w:t>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auto" w:sz="12" w:space="0"/>
                    <w:left w:val="nil"/>
                    <w:bottom w:val="single" w:color="auto" w:sz="4" w:space="0"/>
                    <w:right w:val="single" w:color="auto" w:sz="4" w:space="0"/>
                  </w:tcBorders>
                </w:tcPr>
                <w:p>
                  <w:pPr>
                    <w:spacing w:line="240" w:lineRule="auto"/>
                    <w:ind w:firstLine="0" w:firstLineChars="0"/>
                    <w:jc w:val="center"/>
                    <w:rPr>
                      <w:sz w:val="21"/>
                      <w:szCs w:val="21"/>
                    </w:rPr>
                  </w:pPr>
                  <w:r>
                    <w:rPr>
                      <w:rFonts w:hint="eastAsia"/>
                      <w:sz w:val="21"/>
                      <w:szCs w:val="21"/>
                    </w:rPr>
                    <w:t>废机油</w:t>
                  </w:r>
                </w:p>
              </w:tc>
              <w:tc>
                <w:tcPr>
                  <w:tcW w:w="2333" w:type="dxa"/>
                  <w:tcBorders>
                    <w:top w:val="single" w:color="auto" w:sz="12" w:space="0"/>
                    <w:left w:val="single" w:color="auto" w:sz="4" w:space="0"/>
                    <w:bottom w:val="single" w:color="auto" w:sz="4" w:space="0"/>
                    <w:right w:val="single" w:color="auto" w:sz="4" w:space="0"/>
                  </w:tcBorders>
                </w:tcPr>
                <w:p>
                  <w:pPr>
                    <w:spacing w:line="240" w:lineRule="auto"/>
                    <w:ind w:firstLine="0" w:firstLineChars="0"/>
                    <w:jc w:val="center"/>
                    <w:rPr>
                      <w:sz w:val="21"/>
                      <w:szCs w:val="21"/>
                    </w:rPr>
                  </w:pPr>
                  <w:r>
                    <w:rPr>
                      <w:rFonts w:hint="eastAsia"/>
                      <w:sz w:val="21"/>
                      <w:szCs w:val="21"/>
                    </w:rPr>
                    <w:t>0</w:t>
                  </w:r>
                  <w:r>
                    <w:rPr>
                      <w:sz w:val="21"/>
                      <w:szCs w:val="21"/>
                    </w:rPr>
                    <w:t>.1</w:t>
                  </w:r>
                </w:p>
              </w:tc>
              <w:tc>
                <w:tcPr>
                  <w:tcW w:w="2411" w:type="dxa"/>
                  <w:tcBorders>
                    <w:top w:val="single" w:color="auto" w:sz="12" w:space="0"/>
                    <w:left w:val="single" w:color="auto" w:sz="4" w:space="0"/>
                    <w:bottom w:val="single" w:color="auto" w:sz="4" w:space="0"/>
                    <w:right w:val="single" w:color="auto" w:sz="4" w:space="0"/>
                  </w:tcBorders>
                </w:tcPr>
                <w:p>
                  <w:pPr>
                    <w:autoSpaceDE w:val="0"/>
                    <w:spacing w:line="240" w:lineRule="auto"/>
                    <w:ind w:firstLine="0" w:firstLineChars="0"/>
                    <w:jc w:val="center"/>
                    <w:rPr>
                      <w:sz w:val="21"/>
                      <w:szCs w:val="21"/>
                    </w:rPr>
                  </w:pPr>
                  <w:r>
                    <w:rPr>
                      <w:rFonts w:hint="eastAsia"/>
                      <w:sz w:val="21"/>
                      <w:szCs w:val="21"/>
                    </w:rPr>
                    <w:t>2</w:t>
                  </w:r>
                  <w:r>
                    <w:rPr>
                      <w:sz w:val="21"/>
                      <w:szCs w:val="21"/>
                    </w:rPr>
                    <w:t>500</w:t>
                  </w:r>
                </w:p>
              </w:tc>
              <w:tc>
                <w:tcPr>
                  <w:tcW w:w="2059" w:type="dxa"/>
                  <w:tcBorders>
                    <w:top w:val="single" w:color="auto" w:sz="12" w:space="0"/>
                    <w:left w:val="single" w:color="auto" w:sz="4" w:space="0"/>
                    <w:bottom w:val="single" w:color="auto" w:sz="4" w:space="0"/>
                    <w:right w:val="nil"/>
                  </w:tcBorders>
                </w:tcPr>
                <w:p>
                  <w:pPr>
                    <w:spacing w:line="240" w:lineRule="auto"/>
                    <w:ind w:firstLine="0" w:firstLineChars="0"/>
                    <w:jc w:val="center"/>
                    <w:rPr>
                      <w:sz w:val="21"/>
                      <w:szCs w:val="21"/>
                    </w:rPr>
                  </w:pPr>
                  <w:r>
                    <w:rPr>
                      <w:rFonts w:hint="eastAsia"/>
                      <w:sz w:val="21"/>
                      <w:szCs w:val="21"/>
                    </w:rPr>
                    <w:t>0</w:t>
                  </w:r>
                  <w:r>
                    <w:rPr>
                      <w:sz w:val="21"/>
                      <w:szCs w:val="21"/>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auto" w:sz="4" w:space="0"/>
                    <w:left w:val="nil"/>
                    <w:bottom w:val="single" w:color="auto" w:sz="4" w:space="0"/>
                    <w:right w:val="single" w:color="auto" w:sz="4" w:space="0"/>
                  </w:tcBorders>
                </w:tcPr>
                <w:p>
                  <w:pPr>
                    <w:spacing w:line="240" w:lineRule="auto"/>
                    <w:ind w:firstLine="0" w:firstLineChars="0"/>
                    <w:jc w:val="center"/>
                    <w:rPr>
                      <w:sz w:val="21"/>
                      <w:szCs w:val="21"/>
                    </w:rPr>
                  </w:pPr>
                  <w:r>
                    <w:rPr>
                      <w:rFonts w:hint="eastAsia"/>
                      <w:sz w:val="21"/>
                      <w:szCs w:val="21"/>
                    </w:rPr>
                    <w:t>废液压油</w:t>
                  </w:r>
                </w:p>
              </w:tc>
              <w:tc>
                <w:tcPr>
                  <w:tcW w:w="2333" w:type="dxa"/>
                  <w:tcBorders>
                    <w:top w:val="single" w:color="auto" w:sz="4" w:space="0"/>
                    <w:left w:val="single" w:color="auto" w:sz="4" w:space="0"/>
                    <w:bottom w:val="single" w:color="auto" w:sz="4" w:space="0"/>
                    <w:right w:val="single" w:color="auto" w:sz="4" w:space="0"/>
                  </w:tcBorders>
                </w:tcPr>
                <w:p>
                  <w:pPr>
                    <w:spacing w:line="240" w:lineRule="auto"/>
                    <w:ind w:firstLine="0" w:firstLineChars="0"/>
                    <w:jc w:val="center"/>
                    <w:rPr>
                      <w:sz w:val="21"/>
                      <w:szCs w:val="21"/>
                    </w:rPr>
                  </w:pPr>
                  <w:r>
                    <w:rPr>
                      <w:rFonts w:hint="eastAsia"/>
                      <w:sz w:val="21"/>
                      <w:szCs w:val="21"/>
                    </w:rPr>
                    <w:t>0</w:t>
                  </w:r>
                  <w:r>
                    <w:rPr>
                      <w:sz w:val="21"/>
                      <w:szCs w:val="21"/>
                    </w:rPr>
                    <w:t>.64</w:t>
                  </w:r>
                </w:p>
              </w:tc>
              <w:tc>
                <w:tcPr>
                  <w:tcW w:w="2411" w:type="dxa"/>
                  <w:tcBorders>
                    <w:top w:val="single" w:color="auto" w:sz="4" w:space="0"/>
                    <w:left w:val="single" w:color="auto" w:sz="4" w:space="0"/>
                    <w:bottom w:val="single" w:color="auto" w:sz="4" w:space="0"/>
                    <w:right w:val="single" w:color="auto" w:sz="4" w:space="0"/>
                  </w:tcBorders>
                </w:tcPr>
                <w:p>
                  <w:pPr>
                    <w:autoSpaceDE w:val="0"/>
                    <w:spacing w:line="240" w:lineRule="auto"/>
                    <w:ind w:firstLine="0" w:firstLineChars="0"/>
                    <w:jc w:val="center"/>
                    <w:rPr>
                      <w:sz w:val="21"/>
                      <w:szCs w:val="21"/>
                    </w:rPr>
                  </w:pPr>
                  <w:r>
                    <w:rPr>
                      <w:rFonts w:hint="eastAsia"/>
                      <w:sz w:val="21"/>
                      <w:szCs w:val="21"/>
                    </w:rPr>
                    <w:t>2</w:t>
                  </w:r>
                  <w:r>
                    <w:rPr>
                      <w:sz w:val="21"/>
                      <w:szCs w:val="21"/>
                    </w:rPr>
                    <w:t>500</w:t>
                  </w:r>
                </w:p>
              </w:tc>
              <w:tc>
                <w:tcPr>
                  <w:tcW w:w="2059" w:type="dxa"/>
                  <w:tcBorders>
                    <w:top w:val="single" w:color="auto" w:sz="4" w:space="0"/>
                    <w:left w:val="single" w:color="auto" w:sz="4" w:space="0"/>
                    <w:bottom w:val="single" w:color="auto" w:sz="4" w:space="0"/>
                    <w:right w:val="nil"/>
                  </w:tcBorders>
                </w:tcPr>
                <w:p>
                  <w:pPr>
                    <w:spacing w:line="240" w:lineRule="auto"/>
                    <w:ind w:firstLine="0" w:firstLineChars="0"/>
                    <w:jc w:val="center"/>
                    <w:rPr>
                      <w:sz w:val="21"/>
                      <w:szCs w:val="21"/>
                    </w:rPr>
                  </w:pPr>
                  <w:r>
                    <w:rPr>
                      <w:rFonts w:hint="eastAsia"/>
                      <w:sz w:val="21"/>
                      <w:szCs w:val="21"/>
                    </w:rPr>
                    <w:t>0</w:t>
                  </w:r>
                  <w:r>
                    <w:rPr>
                      <w:sz w:val="21"/>
                      <w:szCs w:val="21"/>
                    </w:rPr>
                    <w:t>.00026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dxa"/>
                  <w:tcBorders>
                    <w:top w:val="single" w:color="auto" w:sz="4" w:space="0"/>
                    <w:left w:val="nil"/>
                    <w:bottom w:val="single" w:color="auto" w:sz="12" w:space="0"/>
                    <w:right w:val="single" w:color="auto" w:sz="4" w:space="0"/>
                  </w:tcBorders>
                </w:tcPr>
                <w:p>
                  <w:pPr>
                    <w:spacing w:line="240" w:lineRule="auto"/>
                    <w:ind w:firstLine="0" w:firstLineChars="0"/>
                    <w:jc w:val="center"/>
                    <w:rPr>
                      <w:sz w:val="21"/>
                      <w:szCs w:val="21"/>
                    </w:rPr>
                  </w:pPr>
                  <w:r>
                    <w:rPr>
                      <w:rFonts w:hint="eastAsia"/>
                      <w:sz w:val="21"/>
                      <w:szCs w:val="21"/>
                    </w:rPr>
                    <w:t>合计</w:t>
                  </w:r>
                </w:p>
              </w:tc>
              <w:tc>
                <w:tcPr>
                  <w:tcW w:w="2333" w:type="dxa"/>
                  <w:tcBorders>
                    <w:top w:val="single" w:color="auto" w:sz="4" w:space="0"/>
                    <w:left w:val="single" w:color="auto" w:sz="4" w:space="0"/>
                    <w:bottom w:val="single" w:color="auto" w:sz="12" w:space="0"/>
                    <w:right w:val="single" w:color="auto" w:sz="4" w:space="0"/>
                  </w:tcBorders>
                </w:tcPr>
                <w:p>
                  <w:pPr>
                    <w:spacing w:line="240" w:lineRule="auto"/>
                    <w:ind w:firstLine="0" w:firstLineChars="0"/>
                    <w:jc w:val="center"/>
                    <w:rPr>
                      <w:sz w:val="21"/>
                      <w:szCs w:val="21"/>
                    </w:rPr>
                  </w:pPr>
                  <w:r>
                    <w:rPr>
                      <w:rFonts w:hint="eastAsia"/>
                      <w:sz w:val="21"/>
                      <w:szCs w:val="21"/>
                    </w:rPr>
                    <w:t>/</w:t>
                  </w:r>
                </w:p>
              </w:tc>
              <w:tc>
                <w:tcPr>
                  <w:tcW w:w="2411" w:type="dxa"/>
                  <w:tcBorders>
                    <w:top w:val="single" w:color="auto" w:sz="4" w:space="0"/>
                    <w:left w:val="single" w:color="auto" w:sz="4" w:space="0"/>
                    <w:bottom w:val="single" w:color="auto" w:sz="12" w:space="0"/>
                    <w:right w:val="single" w:color="auto" w:sz="4" w:space="0"/>
                  </w:tcBorders>
                </w:tcPr>
                <w:p>
                  <w:pPr>
                    <w:autoSpaceDE w:val="0"/>
                    <w:spacing w:line="240" w:lineRule="auto"/>
                    <w:ind w:firstLine="0" w:firstLineChars="0"/>
                    <w:jc w:val="center"/>
                    <w:rPr>
                      <w:sz w:val="21"/>
                      <w:szCs w:val="21"/>
                    </w:rPr>
                  </w:pPr>
                  <w:r>
                    <w:rPr>
                      <w:rFonts w:hint="eastAsia"/>
                      <w:sz w:val="21"/>
                      <w:szCs w:val="21"/>
                    </w:rPr>
                    <w:t>/</w:t>
                  </w:r>
                </w:p>
              </w:tc>
              <w:tc>
                <w:tcPr>
                  <w:tcW w:w="2059" w:type="dxa"/>
                  <w:tcBorders>
                    <w:top w:val="single" w:color="auto" w:sz="4" w:space="0"/>
                    <w:left w:val="single" w:color="auto" w:sz="4" w:space="0"/>
                    <w:bottom w:val="single" w:color="auto" w:sz="12" w:space="0"/>
                    <w:right w:val="nil"/>
                  </w:tcBorders>
                </w:tcPr>
                <w:p>
                  <w:pPr>
                    <w:spacing w:line="240" w:lineRule="auto"/>
                    <w:ind w:firstLine="0" w:firstLineChars="0"/>
                    <w:jc w:val="center"/>
                    <w:rPr>
                      <w:sz w:val="21"/>
                      <w:szCs w:val="21"/>
                    </w:rPr>
                  </w:pPr>
                  <w:r>
                    <w:rPr>
                      <w:rFonts w:hint="eastAsia"/>
                      <w:sz w:val="21"/>
                      <w:szCs w:val="21"/>
                    </w:rPr>
                    <w:t>0</w:t>
                  </w:r>
                  <w:r>
                    <w:rPr>
                      <w:sz w:val="21"/>
                      <w:szCs w:val="21"/>
                    </w:rPr>
                    <w:t>.000</w:t>
                  </w:r>
                  <w:r>
                    <w:rPr>
                      <w:rFonts w:hint="eastAsia"/>
                      <w:sz w:val="21"/>
                      <w:szCs w:val="21"/>
                    </w:rPr>
                    <w:t>30</w:t>
                  </w:r>
                </w:p>
              </w:tc>
            </w:tr>
          </w:tbl>
          <w:p>
            <w:pPr>
              <w:ind w:firstLine="480"/>
              <w:rPr>
                <w:rFonts w:cs="Times New Roman"/>
                <w:szCs w:val="24"/>
              </w:rPr>
            </w:pPr>
            <w:r>
              <w:rPr>
                <w:rFonts w:hint="eastAsia" w:ascii="宋体" w:hAnsi="宋体"/>
              </w:rPr>
              <w:t>本项目风险物质数量与临界量比＜</w:t>
            </w:r>
            <w:r>
              <w:rPr>
                <w:rFonts w:hint="eastAsia"/>
              </w:rPr>
              <w:t>1</w:t>
            </w:r>
            <w:r>
              <w:rPr>
                <w:rFonts w:hint="eastAsia" w:ascii="宋体" w:hAnsi="宋体"/>
              </w:rPr>
              <w:t>，不属于重大风险源。</w:t>
            </w:r>
          </w:p>
          <w:p>
            <w:pPr>
              <w:pStyle w:val="5"/>
            </w:pPr>
            <w:r>
              <w:rPr>
                <w:rFonts w:hint="eastAsia"/>
              </w:rPr>
              <w:t>4.7.2风险单元</w:t>
            </w:r>
          </w:p>
          <w:p>
            <w:pPr>
              <w:ind w:firstLine="480"/>
            </w:pPr>
            <w:r>
              <w:rPr>
                <w:rFonts w:hint="eastAsia"/>
              </w:rPr>
              <w:t>本项目风险单元有危废暂存间。</w:t>
            </w:r>
          </w:p>
          <w:p>
            <w:pPr>
              <w:ind w:firstLine="480"/>
            </w:pPr>
            <w:r>
              <w:rPr>
                <w:rFonts w:hint="eastAsia"/>
              </w:rPr>
              <w:t>危废暂存间废机油、废液压油泄漏可能对区域水环境、土壤造成污染，或引起火灾可能对区域大气造成污染。</w:t>
            </w:r>
          </w:p>
          <w:p>
            <w:pPr>
              <w:keepNext/>
              <w:keepLines/>
              <w:ind w:firstLine="0" w:firstLineChars="0"/>
              <w:jc w:val="left"/>
              <w:outlineLvl w:val="2"/>
              <w:rPr>
                <w:b/>
                <w:bCs/>
                <w:sz w:val="28"/>
              </w:rPr>
            </w:pPr>
            <w:r>
              <w:rPr>
                <w:rFonts w:hint="eastAsia"/>
                <w:b/>
                <w:bCs/>
                <w:sz w:val="28"/>
              </w:rPr>
              <w:t>4.7.3</w:t>
            </w:r>
            <w:r>
              <w:rPr>
                <w:b/>
                <w:bCs/>
                <w:sz w:val="28"/>
              </w:rPr>
              <w:t>环境风险防范措施</w:t>
            </w:r>
          </w:p>
          <w:p>
            <w:pPr>
              <w:ind w:firstLine="480"/>
            </w:pPr>
            <w:r>
              <w:rPr>
                <w:rFonts w:hint="eastAsia"/>
              </w:rPr>
              <w:t>（</w:t>
            </w:r>
            <w:r>
              <w:t>1</w:t>
            </w:r>
            <w:r>
              <w:rPr>
                <w:rFonts w:hint="eastAsia"/>
              </w:rPr>
              <w:t>）废机油、废液压油泄漏防范措施</w:t>
            </w:r>
          </w:p>
          <w:p>
            <w:pPr>
              <w:ind w:firstLine="480"/>
            </w:pPr>
            <w:r>
              <w:rPr>
                <w:rFonts w:hint="eastAsia"/>
              </w:rPr>
              <w:t>危废暂存间为专用全封闭暂存间，地面及裙角均采取了防渗措施，可防晒、防雨淋及防腐蚀；设专人管理，平时为落锁状态废机油、废液压油均为小规格包装（专用桶装），并设值班人员定期巡检；暂存库内设有导流渠及收容坑；暂存库内设有消防沙桶等。</w:t>
            </w:r>
          </w:p>
          <w:p>
            <w:pPr>
              <w:ind w:firstLine="480"/>
            </w:pPr>
            <w:r>
              <w:rPr>
                <w:rFonts w:hint="eastAsia"/>
              </w:rPr>
              <w:t>（2）消防废水</w:t>
            </w:r>
          </w:p>
          <w:p>
            <w:pPr>
              <w:ind w:firstLine="480"/>
            </w:pPr>
            <w:r>
              <w:rPr>
                <w:rFonts w:hint="eastAsia"/>
              </w:rPr>
              <w:t>厂区若发生火灾，可能持续时间较长，火灾气体可能会污染周边环境空气；除了用灭火器进行灭火，还采用水进行灭火，产生的消防废水量较大。消防废水沿厂区管网汇入东方恒略事故水池，经沉淀或生活污水处理站处理后回用于厂区。</w:t>
            </w:r>
          </w:p>
          <w:p>
            <w:pPr>
              <w:ind w:firstLine="480"/>
            </w:pPr>
            <w:r>
              <w:rPr>
                <w:rFonts w:hint="eastAsia"/>
              </w:rPr>
              <w:t>（3）应急预案</w:t>
            </w:r>
          </w:p>
          <w:p>
            <w:pPr>
              <w:ind w:firstLine="480"/>
            </w:pPr>
            <w:r>
              <w:rPr>
                <w:rFonts w:hint="eastAsia"/>
              </w:rPr>
              <w:t>根据国家环保局有关文件的要求，通过对污染事故的风险评价，各有关企业应制定重大的环境污染事故发生的工作计划，消除事故隐患及突发性事故的应急办法等。拟建工程的《突发环境事故应急准备与响应预案》应包含应急响应指挥、应急响应组织、应急响应级别、人员疏散、应急响应要素、培训与演习、应急响应预案管理，以及主要污染源的应急准备与响应预案。</w:t>
            </w:r>
          </w:p>
          <w:p>
            <w:pPr>
              <w:pStyle w:val="4"/>
            </w:pPr>
            <w:r>
              <w:rPr>
                <w:rFonts w:hint="eastAsia"/>
              </w:rPr>
              <w:t>4.8电磁辐射</w:t>
            </w:r>
          </w:p>
          <w:p>
            <w:pPr>
              <w:ind w:firstLine="480"/>
            </w:pPr>
            <w:r>
              <w:rPr>
                <w:rFonts w:hint="eastAsia"/>
              </w:rPr>
              <w:t>本项目不涉及电磁辐射。</w:t>
            </w:r>
          </w:p>
          <w:p>
            <w:pPr>
              <w:ind w:firstLine="480"/>
            </w:pPr>
          </w:p>
          <w:p>
            <w:pPr>
              <w:ind w:firstLine="480"/>
            </w:pPr>
          </w:p>
          <w:p>
            <w:pPr>
              <w:ind w:firstLine="480"/>
            </w:pPr>
          </w:p>
          <w:p>
            <w:pPr>
              <w:pStyle w:val="33"/>
              <w:ind w:left="480" w:firstLine="480"/>
            </w:pPr>
          </w:p>
          <w:p>
            <w:pPr>
              <w:ind w:firstLine="480"/>
            </w:pPr>
          </w:p>
          <w:p>
            <w:pPr>
              <w:pStyle w:val="33"/>
              <w:ind w:left="480" w:firstLine="480"/>
            </w:pPr>
          </w:p>
          <w:p>
            <w:pPr>
              <w:ind w:firstLine="480"/>
            </w:pPr>
          </w:p>
          <w:p>
            <w:pPr>
              <w:pStyle w:val="33"/>
              <w:ind w:left="480" w:firstLine="480"/>
            </w:pPr>
          </w:p>
          <w:p>
            <w:pPr>
              <w:ind w:firstLine="0" w:firstLineChars="0"/>
            </w:pPr>
          </w:p>
        </w:tc>
      </w:tr>
    </w:tbl>
    <w:p>
      <w:pPr>
        <w:pStyle w:val="42"/>
        <w:ind w:firstLine="480"/>
        <w:rPr>
          <w:color w:val="auto"/>
        </w:rPr>
        <w:sectPr>
          <w:pgSz w:w="11907" w:h="16840"/>
          <w:pgMar w:top="1701" w:right="1531" w:bottom="1701" w:left="1531" w:header="851" w:footer="851" w:gutter="0"/>
          <w:cols w:space="720" w:num="1"/>
          <w:docGrid w:linePitch="312" w:charSpace="0"/>
        </w:sectPr>
      </w:pPr>
    </w:p>
    <w:p>
      <w:pPr>
        <w:pStyle w:val="3"/>
        <w:rPr>
          <w:color w:val="auto"/>
        </w:rPr>
      </w:pPr>
      <w:bookmarkStart w:id="12" w:name="_Toc71582783"/>
      <w:r>
        <w:rPr>
          <w:color w:val="auto"/>
        </w:rPr>
        <w:t>五、</w:t>
      </w:r>
      <w:bookmarkStart w:id="13" w:name="_Hlk54167917"/>
      <w:r>
        <w:rPr>
          <w:color w:val="auto"/>
        </w:rPr>
        <w:t>环境保护措施监督检查清单</w:t>
      </w:r>
      <w:bookmarkEnd w:id="12"/>
      <w:bookmarkEnd w:id="13"/>
    </w:p>
    <w:tbl>
      <w:tblPr>
        <w:tblStyle w:val="34"/>
        <w:tblW w:w="87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207"/>
        <w:gridCol w:w="1292"/>
        <w:gridCol w:w="3806"/>
        <w:gridCol w:w="15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45" w:type="dxa"/>
            <w:tcBorders>
              <w:tl2br w:val="single" w:color="auto" w:sz="4" w:space="0"/>
            </w:tcBorders>
          </w:tcPr>
          <w:p>
            <w:pPr>
              <w:adjustRightInd w:val="0"/>
              <w:snapToGrid w:val="0"/>
              <w:spacing w:line="240" w:lineRule="auto"/>
              <w:ind w:firstLine="0" w:firstLineChars="0"/>
              <w:rPr>
                <w:rFonts w:cs="Times New Roman"/>
                <w:sz w:val="21"/>
                <w:szCs w:val="21"/>
              </w:rPr>
            </w:pPr>
            <w:r>
              <w:rPr>
                <w:rFonts w:cs="Times New Roman"/>
                <w:sz w:val="21"/>
                <w:szCs w:val="21"/>
              </w:rPr>
              <w:t>内容</w:t>
            </w:r>
          </w:p>
          <w:p>
            <w:pPr>
              <w:adjustRightInd w:val="0"/>
              <w:snapToGrid w:val="0"/>
              <w:spacing w:line="240" w:lineRule="auto"/>
              <w:ind w:firstLine="0" w:firstLineChars="0"/>
              <w:rPr>
                <w:rFonts w:cs="Times New Roman"/>
                <w:sz w:val="21"/>
                <w:szCs w:val="21"/>
              </w:rPr>
            </w:pPr>
          </w:p>
          <w:p>
            <w:pPr>
              <w:adjustRightInd w:val="0"/>
              <w:snapToGrid w:val="0"/>
              <w:spacing w:line="240" w:lineRule="auto"/>
              <w:ind w:firstLine="0" w:firstLineChars="0"/>
              <w:rPr>
                <w:rFonts w:cs="Times New Roman"/>
                <w:sz w:val="21"/>
                <w:szCs w:val="21"/>
              </w:rPr>
            </w:pPr>
            <w:r>
              <w:rPr>
                <w:rFonts w:cs="Times New Roman"/>
                <w:sz w:val="21"/>
                <w:szCs w:val="21"/>
              </w:rPr>
              <w:t>要素</w:t>
            </w:r>
          </w:p>
        </w:tc>
        <w:tc>
          <w:tcPr>
            <w:tcW w:w="1207"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排放口/污染源</w:t>
            </w:r>
          </w:p>
        </w:tc>
        <w:tc>
          <w:tcPr>
            <w:tcW w:w="1292"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污染物项目</w:t>
            </w:r>
          </w:p>
        </w:tc>
        <w:tc>
          <w:tcPr>
            <w:tcW w:w="3806"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环境保护措施</w:t>
            </w:r>
          </w:p>
        </w:tc>
        <w:tc>
          <w:tcPr>
            <w:tcW w:w="1526"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945" w:type="dxa"/>
            <w:vMerge w:val="restart"/>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大气</w:t>
            </w:r>
          </w:p>
          <w:p>
            <w:pPr>
              <w:adjustRightInd w:val="0"/>
              <w:snapToGrid w:val="0"/>
              <w:spacing w:line="240" w:lineRule="auto"/>
              <w:ind w:firstLine="0" w:firstLineChars="0"/>
              <w:jc w:val="center"/>
              <w:rPr>
                <w:rFonts w:cs="Times New Roman"/>
                <w:sz w:val="21"/>
                <w:szCs w:val="21"/>
              </w:rPr>
            </w:pPr>
            <w:r>
              <w:rPr>
                <w:rFonts w:hint="eastAsia" w:cs="Times New Roman"/>
                <w:sz w:val="21"/>
                <w:szCs w:val="21"/>
              </w:rPr>
              <w:t>环境</w:t>
            </w:r>
          </w:p>
        </w:tc>
        <w:tc>
          <w:tcPr>
            <w:tcW w:w="1207" w:type="dxa"/>
            <w:vAlign w:val="center"/>
          </w:tcPr>
          <w:p>
            <w:pPr>
              <w:spacing w:line="240" w:lineRule="auto"/>
              <w:ind w:firstLine="0" w:firstLineChars="0"/>
              <w:jc w:val="center"/>
              <w:rPr>
                <w:rFonts w:cs="Times New Roman"/>
                <w:sz w:val="21"/>
                <w:szCs w:val="21"/>
              </w:rPr>
            </w:pPr>
            <w:r>
              <w:rPr>
                <w:rFonts w:hint="eastAsia"/>
                <w:sz w:val="21"/>
              </w:rPr>
              <w:t>卸料</w:t>
            </w:r>
          </w:p>
        </w:tc>
        <w:tc>
          <w:tcPr>
            <w:tcW w:w="1292" w:type="dxa"/>
            <w:vAlign w:val="center"/>
          </w:tcPr>
          <w:p>
            <w:pPr>
              <w:spacing w:line="240" w:lineRule="auto"/>
              <w:ind w:firstLine="0" w:firstLineChars="0"/>
              <w:jc w:val="center"/>
              <w:rPr>
                <w:rFonts w:cs="Times New Roman"/>
                <w:sz w:val="21"/>
                <w:szCs w:val="21"/>
              </w:rPr>
            </w:pPr>
            <w:r>
              <w:rPr>
                <w:rFonts w:hint="eastAsia" w:cs="Times New Roman"/>
                <w:sz w:val="21"/>
                <w:szCs w:val="21"/>
              </w:rPr>
              <w:t>扬尘</w:t>
            </w:r>
          </w:p>
        </w:tc>
        <w:tc>
          <w:tcPr>
            <w:tcW w:w="3806" w:type="dxa"/>
            <w:vAlign w:val="center"/>
          </w:tcPr>
          <w:p>
            <w:pPr>
              <w:spacing w:line="240" w:lineRule="auto"/>
              <w:ind w:firstLine="0" w:firstLineChars="0"/>
              <w:rPr>
                <w:sz w:val="21"/>
                <w:szCs w:val="21"/>
              </w:rPr>
            </w:pPr>
            <w:r>
              <w:rPr>
                <w:rFonts w:hint="eastAsia"/>
                <w:sz w:val="21"/>
              </w:rPr>
              <w:t>废旧特种金属卸料在封闭式车间内进行，废旧特种金属落料时，离地面高度不得大于0.3m，废旧特种金属堆放高度大于3m时，不得继续堆料，需另起堆料点；车间定期清扫。厂区西北角设扬尘实时在线监测设备。</w:t>
            </w:r>
          </w:p>
        </w:tc>
        <w:tc>
          <w:tcPr>
            <w:tcW w:w="1526" w:type="dxa"/>
            <w:vMerge w:val="restart"/>
            <w:vAlign w:val="center"/>
          </w:tcPr>
          <w:p>
            <w:pPr>
              <w:wordWrap w:val="0"/>
              <w:spacing w:line="240" w:lineRule="auto"/>
              <w:ind w:firstLine="0" w:firstLineChars="0"/>
              <w:jc w:val="center"/>
              <w:rPr>
                <w:rFonts w:cs="Times New Roman"/>
                <w:sz w:val="21"/>
                <w:szCs w:val="21"/>
              </w:rPr>
            </w:pPr>
            <w:r>
              <w:rPr>
                <w:rFonts w:hint="eastAsia"/>
                <w:sz w:val="21"/>
              </w:rPr>
              <w:t>《大气污染物综合排放标准》（GB16297-1996）中表2规定的排放限值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945" w:type="dxa"/>
            <w:vMerge w:val="continue"/>
            <w:vAlign w:val="center"/>
          </w:tcPr>
          <w:p>
            <w:pPr>
              <w:adjustRightInd w:val="0"/>
              <w:snapToGrid w:val="0"/>
              <w:spacing w:line="240" w:lineRule="auto"/>
              <w:ind w:firstLine="0" w:firstLineChars="0"/>
              <w:jc w:val="center"/>
              <w:rPr>
                <w:rFonts w:cs="Times New Roman"/>
                <w:sz w:val="21"/>
                <w:szCs w:val="21"/>
              </w:rPr>
            </w:pPr>
          </w:p>
        </w:tc>
        <w:tc>
          <w:tcPr>
            <w:tcW w:w="1207" w:type="dxa"/>
            <w:vAlign w:val="center"/>
          </w:tcPr>
          <w:p>
            <w:pPr>
              <w:spacing w:line="240" w:lineRule="auto"/>
              <w:ind w:firstLine="0" w:firstLineChars="0"/>
              <w:jc w:val="center"/>
              <w:rPr>
                <w:rFonts w:cs="Times New Roman"/>
                <w:sz w:val="21"/>
                <w:szCs w:val="21"/>
              </w:rPr>
            </w:pPr>
            <w:r>
              <w:rPr>
                <w:rFonts w:hint="eastAsia"/>
                <w:sz w:val="21"/>
              </w:rPr>
              <w:t>剪切</w:t>
            </w:r>
          </w:p>
        </w:tc>
        <w:tc>
          <w:tcPr>
            <w:tcW w:w="1292" w:type="dxa"/>
            <w:vAlign w:val="center"/>
          </w:tcPr>
          <w:p>
            <w:pPr>
              <w:spacing w:line="240" w:lineRule="auto"/>
              <w:ind w:firstLine="0" w:firstLineChars="0"/>
              <w:jc w:val="center"/>
              <w:rPr>
                <w:rFonts w:cs="Times New Roman"/>
                <w:sz w:val="21"/>
                <w:szCs w:val="21"/>
              </w:rPr>
            </w:pPr>
            <w:r>
              <w:rPr>
                <w:rFonts w:hint="eastAsia" w:cs="Times New Roman"/>
                <w:sz w:val="21"/>
                <w:szCs w:val="21"/>
              </w:rPr>
              <w:t>扬尘</w:t>
            </w:r>
          </w:p>
        </w:tc>
        <w:tc>
          <w:tcPr>
            <w:tcW w:w="3806" w:type="dxa"/>
            <w:vAlign w:val="center"/>
          </w:tcPr>
          <w:p>
            <w:pPr>
              <w:spacing w:line="240" w:lineRule="auto"/>
              <w:ind w:firstLine="0" w:firstLineChars="0"/>
              <w:rPr>
                <w:sz w:val="21"/>
                <w:szCs w:val="21"/>
              </w:rPr>
            </w:pPr>
            <w:r>
              <w:rPr>
                <w:rFonts w:hint="eastAsia"/>
                <w:sz w:val="21"/>
              </w:rPr>
              <w:t>废旧特种金属剪切在封闭式车间内进行，车间定期清扫。</w:t>
            </w:r>
          </w:p>
        </w:tc>
        <w:tc>
          <w:tcPr>
            <w:tcW w:w="1526" w:type="dxa"/>
            <w:vMerge w:val="continue"/>
            <w:vAlign w:val="center"/>
          </w:tcPr>
          <w:p>
            <w:pPr>
              <w:wordWrap w:val="0"/>
              <w:spacing w:line="240" w:lineRule="auto"/>
              <w:ind w:firstLine="0" w:firstLineChars="0"/>
              <w:jc w:val="center"/>
              <w:rPr>
                <w:rFonts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945" w:type="dxa"/>
            <w:vMerge w:val="continue"/>
            <w:vAlign w:val="center"/>
          </w:tcPr>
          <w:p>
            <w:pPr>
              <w:adjustRightInd w:val="0"/>
              <w:snapToGrid w:val="0"/>
              <w:spacing w:line="240" w:lineRule="auto"/>
              <w:ind w:firstLine="0" w:firstLineChars="0"/>
              <w:jc w:val="center"/>
              <w:rPr>
                <w:rFonts w:cs="Times New Roman"/>
                <w:sz w:val="21"/>
                <w:szCs w:val="21"/>
              </w:rPr>
            </w:pPr>
          </w:p>
        </w:tc>
        <w:tc>
          <w:tcPr>
            <w:tcW w:w="1207" w:type="dxa"/>
            <w:vAlign w:val="center"/>
          </w:tcPr>
          <w:p>
            <w:pPr>
              <w:spacing w:line="240" w:lineRule="auto"/>
              <w:ind w:firstLine="0" w:firstLineChars="0"/>
              <w:jc w:val="center"/>
              <w:rPr>
                <w:sz w:val="21"/>
              </w:rPr>
            </w:pPr>
            <w:r>
              <w:rPr>
                <w:rFonts w:hint="eastAsia"/>
                <w:sz w:val="21"/>
              </w:rPr>
              <w:t>转运</w:t>
            </w:r>
          </w:p>
        </w:tc>
        <w:tc>
          <w:tcPr>
            <w:tcW w:w="1292" w:type="dxa"/>
            <w:vAlign w:val="center"/>
          </w:tcPr>
          <w:p>
            <w:pPr>
              <w:spacing w:line="240" w:lineRule="auto"/>
              <w:ind w:firstLine="0" w:firstLineChars="0"/>
              <w:jc w:val="center"/>
              <w:rPr>
                <w:rFonts w:cs="Times New Roman"/>
                <w:sz w:val="21"/>
                <w:szCs w:val="21"/>
              </w:rPr>
            </w:pPr>
            <w:r>
              <w:rPr>
                <w:rFonts w:hint="eastAsia" w:cs="Times New Roman"/>
                <w:sz w:val="21"/>
                <w:szCs w:val="21"/>
              </w:rPr>
              <w:t>扬尘</w:t>
            </w:r>
          </w:p>
        </w:tc>
        <w:tc>
          <w:tcPr>
            <w:tcW w:w="3806" w:type="dxa"/>
            <w:vAlign w:val="center"/>
          </w:tcPr>
          <w:p>
            <w:pPr>
              <w:spacing w:line="240" w:lineRule="auto"/>
              <w:ind w:firstLine="0" w:firstLineChars="0"/>
              <w:rPr>
                <w:sz w:val="21"/>
              </w:rPr>
            </w:pPr>
            <w:r>
              <w:rPr>
                <w:sz w:val="21"/>
              </w:rPr>
              <w:t>废旧特种</w:t>
            </w:r>
            <w:r>
              <w:rPr>
                <w:rFonts w:hint="eastAsia"/>
                <w:sz w:val="21"/>
              </w:rPr>
              <w:t>金属表面含废润滑油、落料时</w:t>
            </w:r>
            <w:r>
              <w:rPr>
                <w:sz w:val="21"/>
              </w:rPr>
              <w:t>离地面高度不得大于0.3m</w:t>
            </w:r>
            <w:r>
              <w:rPr>
                <w:rFonts w:hint="eastAsia"/>
                <w:sz w:val="21"/>
              </w:rPr>
              <w:t>。</w:t>
            </w:r>
          </w:p>
        </w:tc>
        <w:tc>
          <w:tcPr>
            <w:tcW w:w="1526" w:type="dxa"/>
            <w:vMerge w:val="continue"/>
            <w:vAlign w:val="center"/>
          </w:tcPr>
          <w:p>
            <w:pPr>
              <w:wordWrap w:val="0"/>
              <w:spacing w:line="240" w:lineRule="auto"/>
              <w:ind w:firstLine="0" w:firstLineChars="0"/>
              <w:jc w:val="center"/>
              <w:rPr>
                <w:rFonts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945" w:type="dxa"/>
            <w:vMerge w:val="continue"/>
            <w:vAlign w:val="center"/>
          </w:tcPr>
          <w:p>
            <w:pPr>
              <w:adjustRightInd w:val="0"/>
              <w:snapToGrid w:val="0"/>
              <w:spacing w:line="240" w:lineRule="auto"/>
              <w:ind w:firstLine="0" w:firstLineChars="0"/>
              <w:jc w:val="center"/>
              <w:rPr>
                <w:rFonts w:cs="Times New Roman"/>
                <w:sz w:val="21"/>
                <w:szCs w:val="21"/>
              </w:rPr>
            </w:pPr>
          </w:p>
        </w:tc>
        <w:tc>
          <w:tcPr>
            <w:tcW w:w="1207" w:type="dxa"/>
            <w:vAlign w:val="center"/>
          </w:tcPr>
          <w:p>
            <w:pPr>
              <w:spacing w:line="240" w:lineRule="auto"/>
              <w:ind w:firstLine="0" w:firstLineChars="0"/>
              <w:jc w:val="center"/>
              <w:rPr>
                <w:rFonts w:cs="Times New Roman"/>
                <w:sz w:val="21"/>
                <w:szCs w:val="21"/>
              </w:rPr>
            </w:pPr>
            <w:r>
              <w:rPr>
                <w:rFonts w:hint="eastAsia" w:cs="Times New Roman"/>
                <w:sz w:val="21"/>
                <w:szCs w:val="21"/>
              </w:rPr>
              <w:t>食堂</w:t>
            </w:r>
          </w:p>
        </w:tc>
        <w:tc>
          <w:tcPr>
            <w:tcW w:w="1292" w:type="dxa"/>
            <w:vAlign w:val="center"/>
          </w:tcPr>
          <w:p>
            <w:pPr>
              <w:spacing w:line="240" w:lineRule="auto"/>
              <w:ind w:firstLine="0" w:firstLineChars="0"/>
              <w:jc w:val="center"/>
              <w:rPr>
                <w:rFonts w:cs="Times New Roman"/>
                <w:sz w:val="21"/>
                <w:szCs w:val="21"/>
              </w:rPr>
            </w:pPr>
            <w:r>
              <w:rPr>
                <w:rFonts w:hint="eastAsia"/>
                <w:sz w:val="21"/>
              </w:rPr>
              <w:t>食堂油烟</w:t>
            </w:r>
          </w:p>
        </w:tc>
        <w:tc>
          <w:tcPr>
            <w:tcW w:w="3806" w:type="dxa"/>
            <w:vAlign w:val="center"/>
          </w:tcPr>
          <w:p>
            <w:pPr>
              <w:spacing w:line="240" w:lineRule="auto"/>
              <w:ind w:firstLine="0" w:firstLineChars="0"/>
              <w:rPr>
                <w:sz w:val="21"/>
                <w:szCs w:val="21"/>
              </w:rPr>
            </w:pPr>
            <w:r>
              <w:rPr>
                <w:rFonts w:hint="eastAsia"/>
                <w:sz w:val="21"/>
              </w:rPr>
              <w:t>员工就餐依托盛泰源餐厅，盛泰源食堂油烟现配有油烟净化装置，排气筒高8m。</w:t>
            </w:r>
          </w:p>
        </w:tc>
        <w:tc>
          <w:tcPr>
            <w:tcW w:w="1526" w:type="dxa"/>
            <w:vAlign w:val="center"/>
          </w:tcPr>
          <w:p>
            <w:pPr>
              <w:wordWrap w:val="0"/>
              <w:spacing w:line="240" w:lineRule="auto"/>
              <w:ind w:firstLine="0" w:firstLineChars="0"/>
              <w:jc w:val="center"/>
              <w:rPr>
                <w:rFonts w:cs="Times New Roman"/>
                <w:sz w:val="21"/>
                <w:szCs w:val="21"/>
              </w:rPr>
            </w:pPr>
            <w:r>
              <w:rPr>
                <w:rFonts w:hint="eastAsia" w:cs="Times New Roman"/>
                <w:sz w:val="21"/>
                <w:szCs w:val="21"/>
              </w:rPr>
              <w:t>《饮食业油烟排放标准》（GB18483-2001）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45" w:type="dxa"/>
            <w:vMerge w:val="restart"/>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地表水环境</w:t>
            </w:r>
          </w:p>
        </w:tc>
        <w:tc>
          <w:tcPr>
            <w:tcW w:w="1207" w:type="dxa"/>
            <w:vAlign w:val="center"/>
          </w:tcPr>
          <w:p>
            <w:pPr>
              <w:widowControl/>
              <w:adjustRightInd w:val="0"/>
              <w:snapToGrid w:val="0"/>
              <w:spacing w:line="240" w:lineRule="auto"/>
              <w:ind w:firstLine="0" w:firstLineChars="0"/>
              <w:jc w:val="center"/>
              <w:rPr>
                <w:sz w:val="21"/>
                <w:szCs w:val="21"/>
              </w:rPr>
            </w:pPr>
            <w:r>
              <w:rPr>
                <w:rFonts w:hint="eastAsia"/>
                <w:sz w:val="21"/>
              </w:rPr>
              <w:t>生活废水</w:t>
            </w:r>
          </w:p>
        </w:tc>
        <w:tc>
          <w:tcPr>
            <w:tcW w:w="1292"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COD、BOD、SS、</w:t>
            </w:r>
          </w:p>
          <w:p>
            <w:pPr>
              <w:adjustRightInd w:val="0"/>
              <w:snapToGrid w:val="0"/>
              <w:spacing w:line="240" w:lineRule="auto"/>
              <w:ind w:firstLine="0" w:firstLineChars="0"/>
              <w:jc w:val="center"/>
              <w:rPr>
                <w:rFonts w:cs="Times New Roman"/>
                <w:sz w:val="21"/>
                <w:szCs w:val="21"/>
              </w:rPr>
            </w:pPr>
            <w:r>
              <w:rPr>
                <w:rFonts w:hint="eastAsia" w:cs="Times New Roman"/>
                <w:sz w:val="21"/>
                <w:szCs w:val="21"/>
              </w:rPr>
              <w:t>氨氮</w:t>
            </w:r>
          </w:p>
        </w:tc>
        <w:tc>
          <w:tcPr>
            <w:tcW w:w="3806" w:type="dxa"/>
            <w:vAlign w:val="center"/>
          </w:tcPr>
          <w:p>
            <w:pPr>
              <w:widowControl/>
              <w:adjustRightInd w:val="0"/>
              <w:snapToGrid w:val="0"/>
              <w:spacing w:line="240" w:lineRule="auto"/>
              <w:ind w:firstLine="0" w:firstLineChars="0"/>
              <w:rPr>
                <w:sz w:val="21"/>
                <w:szCs w:val="21"/>
              </w:rPr>
            </w:pPr>
            <w:r>
              <w:rPr>
                <w:rFonts w:hint="eastAsia"/>
                <w:sz w:val="21"/>
              </w:rPr>
              <w:t>依托东方恒略污水处理站处理，处理后用于高炉冲渣。</w:t>
            </w:r>
          </w:p>
        </w:tc>
        <w:tc>
          <w:tcPr>
            <w:tcW w:w="1526" w:type="dxa"/>
            <w:vMerge w:val="restart"/>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5" w:type="dxa"/>
            <w:vMerge w:val="continue"/>
            <w:vAlign w:val="center"/>
          </w:tcPr>
          <w:p>
            <w:pPr>
              <w:adjustRightInd w:val="0"/>
              <w:snapToGrid w:val="0"/>
              <w:spacing w:line="240" w:lineRule="auto"/>
              <w:ind w:firstLine="0" w:firstLineChars="0"/>
              <w:jc w:val="center"/>
              <w:rPr>
                <w:rFonts w:cs="Times New Roman"/>
                <w:sz w:val="21"/>
                <w:szCs w:val="21"/>
              </w:rPr>
            </w:pPr>
          </w:p>
        </w:tc>
        <w:tc>
          <w:tcPr>
            <w:tcW w:w="1207" w:type="dxa"/>
            <w:vAlign w:val="center"/>
          </w:tcPr>
          <w:p>
            <w:pPr>
              <w:widowControl/>
              <w:adjustRightInd w:val="0"/>
              <w:snapToGrid w:val="0"/>
              <w:spacing w:line="240" w:lineRule="auto"/>
              <w:ind w:firstLine="0" w:firstLineChars="0"/>
              <w:jc w:val="center"/>
              <w:rPr>
                <w:sz w:val="21"/>
              </w:rPr>
            </w:pPr>
            <w:r>
              <w:rPr>
                <w:rFonts w:hint="eastAsia"/>
                <w:sz w:val="21"/>
              </w:rPr>
              <w:t>洗车废水</w:t>
            </w:r>
          </w:p>
        </w:tc>
        <w:tc>
          <w:tcPr>
            <w:tcW w:w="1292"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SS</w:t>
            </w:r>
          </w:p>
        </w:tc>
        <w:tc>
          <w:tcPr>
            <w:tcW w:w="3806" w:type="dxa"/>
            <w:vAlign w:val="center"/>
          </w:tcPr>
          <w:p>
            <w:pPr>
              <w:widowControl/>
              <w:adjustRightInd w:val="0"/>
              <w:snapToGrid w:val="0"/>
              <w:spacing w:line="240" w:lineRule="auto"/>
              <w:ind w:firstLine="0" w:firstLineChars="0"/>
              <w:rPr>
                <w:sz w:val="21"/>
              </w:rPr>
            </w:pPr>
            <w:r>
              <w:rPr>
                <w:rFonts w:hint="eastAsia"/>
                <w:sz w:val="21"/>
              </w:rPr>
              <w:t>依托东方恒略标准化洗车平台。</w:t>
            </w:r>
          </w:p>
        </w:tc>
        <w:tc>
          <w:tcPr>
            <w:tcW w:w="1526" w:type="dxa"/>
            <w:vMerge w:val="continue"/>
            <w:vAlign w:val="center"/>
          </w:tcPr>
          <w:p>
            <w:pPr>
              <w:adjustRightInd w:val="0"/>
              <w:snapToGrid w:val="0"/>
              <w:spacing w:line="240" w:lineRule="auto"/>
              <w:ind w:firstLine="0" w:firstLineChars="0"/>
              <w:jc w:val="center"/>
              <w:rPr>
                <w:rFonts w:cs="Times New Roman"/>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945"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声环境</w:t>
            </w:r>
          </w:p>
        </w:tc>
        <w:tc>
          <w:tcPr>
            <w:tcW w:w="1207"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生产设备</w:t>
            </w:r>
          </w:p>
        </w:tc>
        <w:tc>
          <w:tcPr>
            <w:tcW w:w="1292"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噪声</w:t>
            </w:r>
          </w:p>
        </w:tc>
        <w:tc>
          <w:tcPr>
            <w:tcW w:w="3806" w:type="dxa"/>
            <w:vAlign w:val="center"/>
          </w:tcPr>
          <w:p>
            <w:pPr>
              <w:adjustRightInd w:val="0"/>
              <w:snapToGrid w:val="0"/>
              <w:spacing w:line="240" w:lineRule="auto"/>
              <w:ind w:firstLine="0" w:firstLineChars="0"/>
              <w:rPr>
                <w:rFonts w:cs="Times New Roman"/>
                <w:sz w:val="21"/>
                <w:szCs w:val="21"/>
              </w:rPr>
            </w:pPr>
            <w:r>
              <w:rPr>
                <w:rFonts w:hint="eastAsia"/>
                <w:sz w:val="21"/>
              </w:rPr>
              <w:t>选用符合国家标准的低噪声设备，设备减振、并定期保养、检修。厂区西北角设噪声实时在线监测设备。</w:t>
            </w:r>
          </w:p>
        </w:tc>
        <w:tc>
          <w:tcPr>
            <w:tcW w:w="1526" w:type="dxa"/>
            <w:vAlign w:val="center"/>
          </w:tcPr>
          <w:p>
            <w:pPr>
              <w:wordWrap w:val="0"/>
              <w:adjustRightInd w:val="0"/>
              <w:snapToGrid w:val="0"/>
              <w:spacing w:line="240" w:lineRule="auto"/>
              <w:ind w:firstLine="0" w:firstLineChars="0"/>
              <w:jc w:val="center"/>
              <w:rPr>
                <w:rFonts w:cs="Times New Roman"/>
                <w:sz w:val="21"/>
                <w:szCs w:val="21"/>
              </w:rPr>
            </w:pPr>
            <w:r>
              <w:rPr>
                <w:rFonts w:hint="eastAsia" w:cs="Times New Roman"/>
                <w:sz w:val="21"/>
                <w:szCs w:val="21"/>
              </w:rPr>
              <w:t>《工业企业厂界环境噪声排放标准》（GB12348-2008)中2类标准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945"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电磁</w:t>
            </w:r>
          </w:p>
          <w:p>
            <w:pPr>
              <w:adjustRightInd w:val="0"/>
              <w:snapToGrid w:val="0"/>
              <w:spacing w:line="240" w:lineRule="auto"/>
              <w:ind w:firstLine="0" w:firstLineChars="0"/>
              <w:jc w:val="center"/>
              <w:rPr>
                <w:rFonts w:cs="Times New Roman"/>
                <w:sz w:val="21"/>
                <w:szCs w:val="21"/>
              </w:rPr>
            </w:pPr>
            <w:r>
              <w:rPr>
                <w:rFonts w:cs="Times New Roman"/>
                <w:sz w:val="21"/>
                <w:szCs w:val="21"/>
              </w:rPr>
              <w:t>辐射</w:t>
            </w:r>
          </w:p>
        </w:tc>
        <w:tc>
          <w:tcPr>
            <w:tcW w:w="7831" w:type="dxa"/>
            <w:gridSpan w:val="4"/>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945"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固体</w:t>
            </w:r>
          </w:p>
          <w:p>
            <w:pPr>
              <w:adjustRightInd w:val="0"/>
              <w:snapToGrid w:val="0"/>
              <w:spacing w:line="240" w:lineRule="auto"/>
              <w:ind w:firstLine="0" w:firstLineChars="0"/>
              <w:jc w:val="center"/>
              <w:rPr>
                <w:rFonts w:cs="Times New Roman"/>
                <w:sz w:val="21"/>
                <w:szCs w:val="21"/>
              </w:rPr>
            </w:pPr>
            <w:r>
              <w:rPr>
                <w:rFonts w:cs="Times New Roman"/>
                <w:sz w:val="21"/>
                <w:szCs w:val="21"/>
              </w:rPr>
              <w:t>废物</w:t>
            </w:r>
          </w:p>
        </w:tc>
        <w:tc>
          <w:tcPr>
            <w:tcW w:w="7831" w:type="dxa"/>
            <w:gridSpan w:val="4"/>
            <w:vAlign w:val="center"/>
          </w:tcPr>
          <w:p>
            <w:pPr>
              <w:spacing w:line="240" w:lineRule="auto"/>
              <w:ind w:firstLine="420"/>
              <w:rPr>
                <w:sz w:val="21"/>
              </w:rPr>
            </w:pPr>
            <w:r>
              <w:rPr>
                <w:rFonts w:hint="eastAsia"/>
                <w:sz w:val="21"/>
              </w:rPr>
              <w:t>生活垃圾：设生活垃圾桶，生活垃圾经收集后送至当地政府指定的地点统一处理。</w:t>
            </w:r>
          </w:p>
          <w:p>
            <w:pPr>
              <w:pStyle w:val="42"/>
              <w:autoSpaceDE/>
              <w:autoSpaceDN/>
              <w:spacing w:line="240" w:lineRule="auto"/>
              <w:ind w:firstLine="420"/>
              <w:rPr>
                <w:color w:val="auto"/>
                <w:sz w:val="21"/>
              </w:rPr>
            </w:pPr>
            <w:r>
              <w:rPr>
                <w:rFonts w:hint="eastAsia"/>
                <w:color w:val="auto"/>
                <w:sz w:val="21"/>
              </w:rPr>
              <w:t>危险废物：暂存1</w:t>
            </w:r>
            <w:r>
              <w:rPr>
                <w:rFonts w:hint="eastAsia"/>
                <w:color w:val="auto"/>
                <w:sz w:val="21"/>
                <w:lang w:val="en-US" w:eastAsia="zh-CN"/>
              </w:rPr>
              <w:t>5</w:t>
            </w:r>
            <w:r>
              <w:rPr>
                <w:rFonts w:hint="eastAsia"/>
                <w:color w:val="auto"/>
                <w:sz w:val="21"/>
              </w:rPr>
              <w:t>m</w:t>
            </w:r>
            <w:r>
              <w:rPr>
                <w:rFonts w:hint="eastAsia"/>
                <w:color w:val="auto"/>
                <w:sz w:val="21"/>
                <w:vertAlign w:val="superscript"/>
              </w:rPr>
              <w:t>2</w:t>
            </w:r>
            <w:r>
              <w:rPr>
                <w:rFonts w:hint="eastAsia"/>
                <w:color w:val="auto"/>
                <w:sz w:val="21"/>
              </w:rPr>
              <w:t>危废暂存间暂存，定期交由有资质单位处置。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7" w:hRule="atLeast"/>
          <w:jc w:val="center"/>
        </w:trPr>
        <w:tc>
          <w:tcPr>
            <w:tcW w:w="945"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土壤及地下水污染防治措施</w:t>
            </w:r>
          </w:p>
        </w:tc>
        <w:tc>
          <w:tcPr>
            <w:tcW w:w="7831" w:type="dxa"/>
            <w:gridSpan w:val="4"/>
            <w:vAlign w:val="center"/>
          </w:tcPr>
          <w:p>
            <w:pPr>
              <w:spacing w:line="240" w:lineRule="auto"/>
              <w:ind w:firstLine="420"/>
              <w:rPr>
                <w:sz w:val="21"/>
              </w:rPr>
            </w:pPr>
            <w:r>
              <w:rPr>
                <w:rFonts w:hint="eastAsia"/>
                <w:sz w:val="21"/>
              </w:rPr>
              <w:t>厂区“分区防渗”。</w:t>
            </w:r>
          </w:p>
          <w:p>
            <w:pPr>
              <w:pStyle w:val="42"/>
              <w:autoSpaceDE/>
              <w:autoSpaceDN/>
              <w:spacing w:line="240" w:lineRule="auto"/>
              <w:ind w:firstLine="420"/>
              <w:rPr>
                <w:rFonts w:ascii="Times New Roman" w:hAnsi="Times New Roman"/>
                <w:sz w:val="21"/>
              </w:rPr>
            </w:pPr>
            <w:r>
              <w:rPr>
                <w:rFonts w:hint="eastAsia"/>
                <w:color w:val="auto"/>
                <w:sz w:val="21"/>
              </w:rPr>
              <w:t>危废暂存间</w:t>
            </w:r>
            <w:r>
              <w:rPr>
                <w:rFonts w:hint="eastAsia"/>
                <w:color w:val="auto"/>
                <w:sz w:val="21"/>
                <w:lang w:eastAsia="zh-CN"/>
              </w:rPr>
              <w:t>、</w:t>
            </w:r>
            <w:r>
              <w:rPr>
                <w:rFonts w:hint="eastAsia" w:ascii="Times New Roman" w:hAnsi="Times New Roman"/>
                <w:sz w:val="21"/>
              </w:rPr>
              <w:t>生产车间</w:t>
            </w:r>
            <w:r>
              <w:rPr>
                <w:rFonts w:hint="eastAsia"/>
                <w:color w:val="auto"/>
                <w:sz w:val="21"/>
              </w:rPr>
              <w:t>重点防渗，防渗技术要求：</w:t>
            </w:r>
            <w:r>
              <w:rPr>
                <w:color w:val="auto"/>
                <w:sz w:val="21"/>
              </w:rPr>
              <w:t>等效粘土防渗层Mb≥6.0m，K≤1×10</w:t>
            </w:r>
            <w:r>
              <w:rPr>
                <w:color w:val="auto"/>
                <w:sz w:val="21"/>
                <w:vertAlign w:val="superscript"/>
              </w:rPr>
              <w:t>-</w:t>
            </w:r>
            <w:r>
              <w:rPr>
                <w:rFonts w:hint="eastAsia"/>
                <w:color w:val="auto"/>
                <w:sz w:val="21"/>
                <w:vertAlign w:val="superscript"/>
              </w:rPr>
              <w:t>10</w:t>
            </w:r>
            <w:r>
              <w:rPr>
                <w:color w:val="auto"/>
                <w:sz w:val="21"/>
              </w:rPr>
              <w:t>cm/s</w:t>
            </w:r>
            <w:r>
              <w:rPr>
                <w:rFonts w:hint="eastAsia"/>
                <w:color w:val="auto"/>
                <w:sz w:val="21"/>
              </w:rPr>
              <w:t>；</w:t>
            </w:r>
          </w:p>
          <w:p>
            <w:pPr>
              <w:spacing w:line="240" w:lineRule="auto"/>
              <w:ind w:firstLine="420"/>
              <w:rPr>
                <w:sz w:val="21"/>
              </w:rPr>
            </w:pPr>
            <w:r>
              <w:rPr>
                <w:rFonts w:hint="eastAsia" w:cs="Times New Roman"/>
                <w:kern w:val="0"/>
                <w:sz w:val="21"/>
                <w:szCs w:val="20"/>
              </w:rPr>
              <w:t>道路简单防渗，</w:t>
            </w:r>
            <w:r>
              <w:rPr>
                <w:rFonts w:hint="eastAsia"/>
                <w:sz w:val="21"/>
              </w:rPr>
              <w:t>防渗技术要求：</w:t>
            </w:r>
            <w:r>
              <w:rPr>
                <w:rFonts w:cs="Times New Roman"/>
                <w:sz w:val="21"/>
                <w:szCs w:val="20"/>
              </w:rPr>
              <w:t>一般地面硬化</w:t>
            </w:r>
            <w:r>
              <w:rPr>
                <w:rFonts w:hint="eastAsia" w:cs="Times New Roman"/>
                <w:sz w:val="21"/>
                <w:szCs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6" w:hRule="atLeast"/>
          <w:jc w:val="center"/>
        </w:trPr>
        <w:tc>
          <w:tcPr>
            <w:tcW w:w="945" w:type="dxa"/>
            <w:vAlign w:val="center"/>
          </w:tcPr>
          <w:p>
            <w:pPr>
              <w:adjustRightInd w:val="0"/>
              <w:snapToGrid w:val="0"/>
              <w:spacing w:line="240" w:lineRule="auto"/>
              <w:ind w:firstLine="0" w:firstLineChars="0"/>
              <w:jc w:val="center"/>
              <w:rPr>
                <w:rFonts w:cs="Times New Roman"/>
                <w:sz w:val="21"/>
                <w:szCs w:val="21"/>
              </w:rPr>
            </w:pPr>
            <w:r>
              <w:rPr>
                <w:rFonts w:cs="Times New Roman"/>
                <w:sz w:val="21"/>
                <w:szCs w:val="21"/>
              </w:rPr>
              <w:t>生态保护措施</w:t>
            </w:r>
          </w:p>
        </w:tc>
        <w:tc>
          <w:tcPr>
            <w:tcW w:w="7831" w:type="dxa"/>
            <w:gridSpan w:val="4"/>
            <w:vAlign w:val="center"/>
          </w:tcPr>
          <w:p>
            <w:pPr>
              <w:adjustRightInd w:val="0"/>
              <w:snapToGrid w:val="0"/>
              <w:spacing w:line="240" w:lineRule="auto"/>
              <w:ind w:firstLine="420"/>
              <w:rPr>
                <w:rFonts w:cs="Times New Roman"/>
                <w:sz w:val="21"/>
                <w:szCs w:val="21"/>
              </w:rPr>
            </w:pPr>
            <w:r>
              <w:rPr>
                <w:rFonts w:hint="eastAsia"/>
                <w:sz w:val="21"/>
              </w:rPr>
              <w:t>要加强职工环境保护宣传教育，加强污染治理设施运转管理，加强危险废物的管理和暂存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4" w:hRule="atLeast"/>
          <w:jc w:val="center"/>
        </w:trPr>
        <w:tc>
          <w:tcPr>
            <w:tcW w:w="945" w:type="dxa"/>
            <w:vAlign w:val="center"/>
          </w:tcPr>
          <w:p>
            <w:pPr>
              <w:adjustRightInd w:val="0"/>
              <w:snapToGrid w:val="0"/>
              <w:spacing w:line="240" w:lineRule="auto"/>
              <w:ind w:firstLine="0" w:firstLineChars="0"/>
              <w:jc w:val="center"/>
              <w:rPr>
                <w:rFonts w:cs="Times New Roman"/>
                <w:spacing w:val="-8"/>
                <w:sz w:val="21"/>
                <w:szCs w:val="21"/>
              </w:rPr>
            </w:pPr>
            <w:r>
              <w:rPr>
                <w:rFonts w:cs="Times New Roman"/>
                <w:spacing w:val="-8"/>
                <w:sz w:val="21"/>
                <w:szCs w:val="21"/>
              </w:rPr>
              <w:t>环境风险防范措施</w:t>
            </w:r>
          </w:p>
        </w:tc>
        <w:tc>
          <w:tcPr>
            <w:tcW w:w="7831" w:type="dxa"/>
            <w:gridSpan w:val="4"/>
            <w:vAlign w:val="center"/>
          </w:tcPr>
          <w:p>
            <w:pPr>
              <w:adjustRightInd w:val="0"/>
              <w:snapToGrid w:val="0"/>
              <w:spacing w:line="240" w:lineRule="auto"/>
              <w:ind w:firstLine="420"/>
              <w:rPr>
                <w:sz w:val="21"/>
              </w:rPr>
            </w:pPr>
            <w:r>
              <w:rPr>
                <w:sz w:val="21"/>
              </w:rPr>
              <w:t>1</w:t>
            </w:r>
            <w:r>
              <w:rPr>
                <w:rFonts w:hint="eastAsia"/>
                <w:sz w:val="21"/>
              </w:rPr>
              <w:t>、强化风险意识、加强安全管理。</w:t>
            </w:r>
          </w:p>
          <w:p>
            <w:pPr>
              <w:adjustRightInd w:val="0"/>
              <w:snapToGrid w:val="0"/>
              <w:spacing w:line="240" w:lineRule="auto"/>
              <w:ind w:firstLine="420"/>
              <w:rPr>
                <w:sz w:val="21"/>
              </w:rPr>
            </w:pPr>
            <w:r>
              <w:rPr>
                <w:rFonts w:hint="eastAsia"/>
                <w:sz w:val="21"/>
              </w:rPr>
              <w:t>2、危险物质用专用密闭容器盛装，暂存危废暂存间，危废暂存间按规范要求防渗处理。</w:t>
            </w:r>
          </w:p>
          <w:p>
            <w:pPr>
              <w:adjustRightInd w:val="0"/>
              <w:snapToGrid w:val="0"/>
              <w:spacing w:line="240" w:lineRule="auto"/>
              <w:ind w:firstLine="420"/>
            </w:pPr>
            <w:r>
              <w:rPr>
                <w:rFonts w:hint="eastAsia"/>
                <w:sz w:val="21"/>
              </w:rPr>
              <w:t>3、加强对污水管网的巡视，和定期检查。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96" w:hRule="atLeast"/>
          <w:jc w:val="center"/>
        </w:trPr>
        <w:tc>
          <w:tcPr>
            <w:tcW w:w="945" w:type="dxa"/>
            <w:vAlign w:val="center"/>
          </w:tcPr>
          <w:p>
            <w:pPr>
              <w:adjustRightInd w:val="0"/>
              <w:snapToGrid w:val="0"/>
              <w:spacing w:line="240" w:lineRule="auto"/>
              <w:ind w:firstLine="0" w:firstLineChars="0"/>
              <w:jc w:val="center"/>
              <w:rPr>
                <w:rFonts w:cs="Times New Roman"/>
                <w:spacing w:val="-8"/>
                <w:sz w:val="21"/>
                <w:szCs w:val="21"/>
              </w:rPr>
            </w:pPr>
            <w:r>
              <w:rPr>
                <w:rFonts w:cs="Times New Roman"/>
                <w:spacing w:val="-8"/>
                <w:sz w:val="21"/>
                <w:szCs w:val="21"/>
              </w:rPr>
              <w:t>其他环境管理要求</w:t>
            </w:r>
          </w:p>
        </w:tc>
        <w:tc>
          <w:tcPr>
            <w:tcW w:w="7831" w:type="dxa"/>
            <w:gridSpan w:val="4"/>
            <w:vAlign w:val="center"/>
          </w:tcPr>
          <w:p>
            <w:pPr>
              <w:ind w:firstLine="420"/>
              <w:rPr>
                <w:sz w:val="21"/>
              </w:rPr>
            </w:pPr>
            <w:r>
              <w:rPr>
                <w:sz w:val="21"/>
              </w:rPr>
              <w:t>1、环境管理制度</w:t>
            </w:r>
          </w:p>
          <w:p>
            <w:pPr>
              <w:ind w:firstLine="420"/>
              <w:rPr>
                <w:sz w:val="21"/>
              </w:rPr>
            </w:pPr>
            <w:r>
              <w:rPr>
                <w:sz w:val="21"/>
              </w:rPr>
              <w:t>企业在健全了环境管理体制与管理机构的基础上，还必须健全环保管理规章制度。各项规章制度应体现环境管理的任务、内容和准则，使环境管理的特点和要求渗透到企业的各项管理工作中。相应的环境管理制度包括：</w:t>
            </w:r>
            <w:r>
              <w:rPr>
                <w:rFonts w:hint="eastAsia"/>
                <w:sz w:val="21"/>
              </w:rPr>
              <w:t>①</w:t>
            </w:r>
            <w:r>
              <w:rPr>
                <w:sz w:val="21"/>
              </w:rPr>
              <w:t>环境保护管理条例；</w:t>
            </w:r>
            <w:r>
              <w:rPr>
                <w:rFonts w:hint="eastAsia"/>
                <w:sz w:val="21"/>
              </w:rPr>
              <w:t>②</w:t>
            </w:r>
            <w:r>
              <w:rPr>
                <w:sz w:val="21"/>
              </w:rPr>
              <w:t>环境管理的经济责任制；</w:t>
            </w:r>
            <w:r>
              <w:rPr>
                <w:rFonts w:hint="eastAsia"/>
                <w:sz w:val="21"/>
              </w:rPr>
              <w:t>③</w:t>
            </w:r>
            <w:r>
              <w:rPr>
                <w:sz w:val="21"/>
              </w:rPr>
              <w:t>环保设施运行与管理制度；</w:t>
            </w:r>
            <w:r>
              <w:rPr>
                <w:rFonts w:hint="eastAsia"/>
                <w:sz w:val="21"/>
              </w:rPr>
              <w:t>④</w:t>
            </w:r>
            <w:r>
              <w:rPr>
                <w:sz w:val="21"/>
              </w:rPr>
              <w:t>环境管理岗位责任制；</w:t>
            </w:r>
            <w:r>
              <w:rPr>
                <w:rFonts w:hint="eastAsia"/>
                <w:sz w:val="21"/>
              </w:rPr>
              <w:t>⑤</w:t>
            </w:r>
            <w:r>
              <w:rPr>
                <w:sz w:val="21"/>
              </w:rPr>
              <w:t>环境管理技术规范；</w:t>
            </w:r>
            <w:r>
              <w:rPr>
                <w:rFonts w:hint="eastAsia"/>
                <w:sz w:val="21"/>
              </w:rPr>
              <w:t>⑥</w:t>
            </w:r>
            <w:r>
              <w:rPr>
                <w:sz w:val="21"/>
              </w:rPr>
              <w:t>环境保护的考核制度；</w:t>
            </w:r>
            <w:r>
              <w:rPr>
                <w:rFonts w:hint="eastAsia"/>
                <w:sz w:val="21"/>
              </w:rPr>
              <w:t>⑦</w:t>
            </w:r>
            <w:r>
              <w:rPr>
                <w:sz w:val="21"/>
              </w:rPr>
              <w:t>环境保护严惩办法；</w:t>
            </w:r>
            <w:r>
              <w:rPr>
                <w:rFonts w:hint="eastAsia"/>
                <w:sz w:val="21"/>
              </w:rPr>
              <w:t>⑧</w:t>
            </w:r>
            <w:r>
              <w:rPr>
                <w:sz w:val="21"/>
              </w:rPr>
              <w:t>污染防治控制措施实施方法；</w:t>
            </w:r>
            <w:r>
              <w:rPr>
                <w:rFonts w:hint="eastAsia"/>
                <w:sz w:val="21"/>
              </w:rPr>
              <w:t>⑨</w:t>
            </w:r>
            <w:r>
              <w:rPr>
                <w:sz w:val="21"/>
              </w:rPr>
              <w:t>环境污染事故管理规定；</w:t>
            </w:r>
            <w:r>
              <w:rPr>
                <w:rFonts w:hint="eastAsia"/>
                <w:sz w:val="21"/>
              </w:rPr>
              <w:t>⑩</w:t>
            </w:r>
            <w:r>
              <w:rPr>
                <w:sz w:val="21"/>
              </w:rPr>
              <w:t>清洁生产审计制度；</w:t>
            </w:r>
            <w:r>
              <w:rPr>
                <w:rFonts w:hint="eastAsia"/>
                <w:sz w:val="21"/>
              </w:rPr>
              <w:t>⑪</w:t>
            </w:r>
            <w:r>
              <w:rPr>
                <w:sz w:val="21"/>
              </w:rPr>
              <w:t>环境保护质量管理规程。</w:t>
            </w:r>
          </w:p>
          <w:p>
            <w:pPr>
              <w:ind w:firstLine="420"/>
              <w:rPr>
                <w:sz w:val="21"/>
              </w:rPr>
            </w:pPr>
            <w:r>
              <w:rPr>
                <w:sz w:val="21"/>
              </w:rPr>
              <w:t>2、运营期环境管理计划</w:t>
            </w:r>
          </w:p>
          <w:p>
            <w:pPr>
              <w:ind w:firstLine="420"/>
              <w:rPr>
                <w:sz w:val="21"/>
              </w:rPr>
            </w:pPr>
            <w:r>
              <w:rPr>
                <w:sz w:val="21"/>
              </w:rPr>
              <w:t>①管理机构</w:t>
            </w:r>
          </w:p>
          <w:p>
            <w:pPr>
              <w:ind w:firstLine="420"/>
              <w:rPr>
                <w:sz w:val="21"/>
              </w:rPr>
            </w:pPr>
            <w:r>
              <w:rPr>
                <w:sz w:val="21"/>
              </w:rPr>
              <w:t>本</w:t>
            </w:r>
            <w:r>
              <w:rPr>
                <w:rFonts w:hint="eastAsia"/>
                <w:sz w:val="21"/>
              </w:rPr>
              <w:t>企业</w:t>
            </w:r>
            <w:r>
              <w:rPr>
                <w:sz w:val="21"/>
              </w:rPr>
              <w:t>应成立环保组，负责运营期的环境管理工作，于当地环保部门及其授权监测部门直接监管</w:t>
            </w:r>
            <w:r>
              <w:rPr>
                <w:rFonts w:hint="eastAsia"/>
                <w:sz w:val="21"/>
              </w:rPr>
              <w:t>厂</w:t>
            </w:r>
            <w:r>
              <w:rPr>
                <w:sz w:val="21"/>
              </w:rPr>
              <w:t>内污染物的排放情况，并对其污染事故、纠纷进行处理。</w:t>
            </w:r>
          </w:p>
          <w:p>
            <w:pPr>
              <w:ind w:firstLine="420"/>
              <w:rPr>
                <w:sz w:val="21"/>
              </w:rPr>
            </w:pPr>
            <w:r>
              <w:rPr>
                <w:sz w:val="21"/>
              </w:rPr>
              <w:t>②运营期环境管理职责</w:t>
            </w:r>
          </w:p>
          <w:p>
            <w:pPr>
              <w:ind w:firstLine="420"/>
              <w:rPr>
                <w:sz w:val="21"/>
              </w:rPr>
            </w:pPr>
            <w:r>
              <w:rPr>
                <w:sz w:val="21"/>
              </w:rPr>
              <w:t>由厂长负责环保指标的落实，将环保指标逐级分解到生产区、班组、个人，下属具体负责其附属环保设备的运转和维护，确保其正常运转和达标排放，充分发挥其作用；配合地方环保部门监测部门进行日常环境监测，记录并及时上报污染源及环保措施运转状态。在项目实施全过程中，本工程都应以《中华人民共和国环境保护法》及相关环保法律、法规为依据，通过对项目前后的环境审核，制定环境方针，建立环境目标和指标，设计环境方案，以达到“清洁生产”的良好效果，以达到长远、持久的发展。</w:t>
            </w:r>
          </w:p>
          <w:p>
            <w:pPr>
              <w:ind w:firstLine="420"/>
              <w:rPr>
                <w:sz w:val="21"/>
              </w:rPr>
            </w:pPr>
            <w:r>
              <w:rPr>
                <w:sz w:val="21"/>
              </w:rPr>
              <w:t>③参照相关行业排污许可技术规范要求，进行排污申报，并对本项目运营期进行管理与监控，设置台账。</w:t>
            </w:r>
          </w:p>
          <w:p>
            <w:pPr>
              <w:pStyle w:val="33"/>
              <w:ind w:left="480"/>
              <w:rPr>
                <w:sz w:val="21"/>
              </w:rPr>
            </w:pPr>
          </w:p>
        </w:tc>
      </w:tr>
    </w:tbl>
    <w:p>
      <w:pPr>
        <w:widowControl/>
        <w:ind w:firstLine="0" w:firstLineChars="0"/>
        <w:jc w:val="left"/>
        <w:outlineLvl w:val="0"/>
        <w:rPr>
          <w:rFonts w:eastAsia="黑体" w:cs="Times New Roman"/>
          <w:snapToGrid w:val="0"/>
          <w:kern w:val="0"/>
          <w:sz w:val="30"/>
          <w:szCs w:val="30"/>
        </w:rPr>
      </w:pPr>
      <w:r>
        <w:rPr>
          <w:rFonts w:cs="Times New Roman"/>
          <w:snapToGrid w:val="0"/>
          <w:kern w:val="0"/>
          <w:szCs w:val="20"/>
        </w:rPr>
        <w:br w:type="page"/>
      </w:r>
      <w:bookmarkStart w:id="14" w:name="_Toc71582784"/>
      <w:r>
        <w:rPr>
          <w:rStyle w:val="47"/>
          <w:color w:val="auto"/>
        </w:rPr>
        <w:t>六、结论</w:t>
      </w:r>
      <w:bookmarkEnd w:id="14"/>
    </w:p>
    <w:tbl>
      <w:tblPr>
        <w:tblStyle w:val="34"/>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22" w:hRule="atLeast"/>
          <w:jc w:val="center"/>
        </w:trPr>
        <w:tc>
          <w:tcPr>
            <w:tcW w:w="8865" w:type="dxa"/>
            <w:vAlign w:val="center"/>
          </w:tcPr>
          <w:p>
            <w:pPr>
              <w:ind w:firstLine="480"/>
            </w:pPr>
          </w:p>
          <w:p>
            <w:pPr>
              <w:ind w:firstLine="480"/>
            </w:pPr>
          </w:p>
          <w:p>
            <w:pPr>
              <w:ind w:firstLine="480"/>
            </w:pPr>
          </w:p>
          <w:p>
            <w:pPr>
              <w:ind w:firstLine="480"/>
            </w:pPr>
          </w:p>
          <w:p>
            <w:pPr>
              <w:ind w:firstLine="480"/>
            </w:pPr>
          </w:p>
          <w:p>
            <w:pPr>
              <w:ind w:firstLine="480"/>
            </w:pPr>
          </w:p>
          <w:p>
            <w:pPr>
              <w:widowControl/>
              <w:ind w:firstLine="480"/>
              <w:jc w:val="left"/>
            </w:pPr>
            <w:r>
              <w:rPr>
                <w:rFonts w:hint="eastAsia"/>
              </w:rPr>
              <w:t>临汾同盛源再生资源循环科技有限公司新建年回收加工配送5万吨废旧特种金属项目符合国家产业政策，</w:t>
            </w:r>
            <w:r>
              <w:rPr>
                <w:rFonts w:hint="eastAsia" w:ascii="宋体" w:hAnsi="宋体" w:cs="宋体"/>
                <w:kern w:val="0"/>
                <w:szCs w:val="24"/>
                <w:lang w:bidi="ar"/>
              </w:rPr>
              <w:t>符合国家、尧都高新技术产业开发区总体规划和废钢铁行业政策</w:t>
            </w:r>
            <w:r>
              <w:rPr>
                <w:rFonts w:hint="eastAsia"/>
              </w:rPr>
              <w:t>。</w:t>
            </w:r>
          </w:p>
          <w:p>
            <w:pPr>
              <w:widowControl/>
              <w:ind w:firstLine="480"/>
              <w:jc w:val="left"/>
            </w:pPr>
            <w:r>
              <w:rPr>
                <w:rFonts w:hint="eastAsia" w:ascii="宋体" w:hAnsi="宋体" w:cs="宋体"/>
                <w:kern w:val="0"/>
                <w:szCs w:val="24"/>
                <w:lang w:bidi="ar"/>
              </w:rPr>
              <w:t>项目废气满足达标排放要求，工业固体废物的处理处置符合“减量化、资源化、无害化”原则，污染物排放得到有效控制。因此，在严格执行“三同时”制度，落实本环境影响报告表中提出的各项环境保护措施和建议的前提下，从环境保护角度出发，本项目的建设是可行的。</w:t>
            </w:r>
          </w:p>
          <w:p>
            <w:pPr>
              <w:widowControl/>
              <w:ind w:firstLine="480"/>
              <w:jc w:val="left"/>
            </w:pPr>
          </w:p>
          <w:p>
            <w:pPr>
              <w:pStyle w:val="33"/>
              <w:ind w:left="480" w:firstLine="480"/>
            </w:pPr>
          </w:p>
          <w:p>
            <w:pPr>
              <w:ind w:firstLine="480"/>
            </w:pPr>
          </w:p>
          <w:p>
            <w:pPr>
              <w:pStyle w:val="33"/>
              <w:ind w:left="480" w:firstLine="480"/>
            </w:pPr>
          </w:p>
          <w:p>
            <w:pPr>
              <w:ind w:firstLine="480"/>
            </w:pPr>
          </w:p>
          <w:p>
            <w:pPr>
              <w:pStyle w:val="33"/>
              <w:ind w:left="480" w:firstLine="480"/>
            </w:pPr>
          </w:p>
          <w:p>
            <w:pPr>
              <w:ind w:firstLine="480"/>
            </w:pPr>
          </w:p>
          <w:p>
            <w:pPr>
              <w:pStyle w:val="33"/>
              <w:ind w:left="480" w:firstLine="480"/>
            </w:pPr>
          </w:p>
          <w:p>
            <w:pPr>
              <w:pStyle w:val="33"/>
              <w:ind w:left="480" w:firstLine="480"/>
            </w:pPr>
          </w:p>
          <w:p>
            <w:pPr>
              <w:ind w:firstLine="480"/>
            </w:pPr>
          </w:p>
          <w:p>
            <w:pPr>
              <w:pStyle w:val="33"/>
              <w:ind w:left="0" w:leftChars="0" w:firstLine="0" w:firstLineChars="0"/>
            </w:pPr>
          </w:p>
        </w:tc>
      </w:tr>
    </w:tbl>
    <w:p>
      <w:pPr>
        <w:ind w:firstLine="480"/>
        <w:rPr>
          <w:rFonts w:cs="Times New Roman"/>
          <w:szCs w:val="24"/>
        </w:rPr>
        <w:sectPr>
          <w:footerReference r:id="rId12" w:type="default"/>
          <w:pgSz w:w="11906" w:h="16838"/>
          <w:pgMar w:top="1701" w:right="1531" w:bottom="1701" w:left="1531" w:header="851" w:footer="851" w:gutter="0"/>
          <w:cols w:space="720" w:num="1"/>
          <w:docGrid w:linePitch="312" w:charSpace="0"/>
        </w:sectPr>
      </w:pPr>
    </w:p>
    <w:p>
      <w:pPr>
        <w:widowControl/>
        <w:adjustRightInd w:val="0"/>
        <w:snapToGrid w:val="0"/>
        <w:spacing w:line="360" w:lineRule="auto"/>
        <w:ind w:firstLine="640"/>
        <w:jc w:val="left"/>
        <w:outlineLvl w:val="0"/>
        <w:rPr>
          <w:rFonts w:eastAsia="黑体" w:cs="Times New Roman"/>
          <w:snapToGrid w:val="0"/>
          <w:kern w:val="0"/>
          <w:sz w:val="32"/>
          <w:szCs w:val="32"/>
        </w:rPr>
      </w:pPr>
      <w:bookmarkStart w:id="15" w:name="_Toc6717"/>
      <w:r>
        <w:rPr>
          <w:rFonts w:eastAsia="黑体" w:cs="Times New Roman"/>
          <w:snapToGrid w:val="0"/>
          <w:kern w:val="0"/>
          <w:sz w:val="32"/>
          <w:szCs w:val="32"/>
        </w:rPr>
        <w:t>附表</w:t>
      </w:r>
      <w:bookmarkEnd w:id="15"/>
    </w:p>
    <w:p>
      <w:pPr>
        <w:pStyle w:val="3"/>
        <w:jc w:val="center"/>
        <w:rPr>
          <w:color w:val="auto"/>
        </w:rPr>
      </w:pPr>
      <w:bookmarkStart w:id="16" w:name="_Toc9168"/>
      <w:r>
        <w:rPr>
          <w:rFonts w:hint="eastAsia"/>
          <w:color w:val="auto"/>
        </w:rPr>
        <w:t>建设项目污染物排放量汇总表</w:t>
      </w:r>
      <w:bookmarkEnd w:id="16"/>
    </w:p>
    <w:tbl>
      <w:tblPr>
        <w:tblStyle w:val="34"/>
        <w:tblW w:w="1395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2191"/>
        <w:gridCol w:w="1590"/>
        <w:gridCol w:w="1037"/>
        <w:gridCol w:w="1701"/>
        <w:gridCol w:w="1559"/>
        <w:gridCol w:w="1761"/>
        <w:gridCol w:w="1686"/>
        <w:gridCol w:w="12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tcBorders>
              <w:tl2br w:val="single" w:color="auto" w:sz="4" w:space="0"/>
            </w:tcBorders>
            <w:tcMar>
              <w:left w:w="28" w:type="dxa"/>
              <w:right w:w="28" w:type="dxa"/>
            </w:tcMar>
            <w:vAlign w:val="center"/>
          </w:tcPr>
          <w:p>
            <w:pPr>
              <w:adjustRightInd w:val="0"/>
              <w:snapToGrid w:val="0"/>
              <w:spacing w:line="240" w:lineRule="auto"/>
              <w:ind w:firstLine="0" w:firstLineChars="0"/>
              <w:jc w:val="center"/>
              <w:rPr>
                <w:rFonts w:cs="Times New Roman"/>
                <w:snapToGrid w:val="0"/>
                <w:spacing w:val="-6"/>
                <w:kern w:val="21"/>
                <w:sz w:val="21"/>
                <w:szCs w:val="21"/>
              </w:rPr>
            </w:pPr>
            <w:bookmarkStart w:id="17" w:name="_Toc26973"/>
            <w:r>
              <w:rPr>
                <w:rFonts w:cs="Times New Roman"/>
                <w:snapToGrid w:val="0"/>
                <w:spacing w:val="-6"/>
                <w:kern w:val="21"/>
                <w:sz w:val="21"/>
                <w:szCs w:val="21"/>
              </w:rPr>
              <w:t>项目</w:t>
            </w:r>
          </w:p>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分类</w:t>
            </w:r>
          </w:p>
        </w:tc>
        <w:tc>
          <w:tcPr>
            <w:tcW w:w="2191" w:type="dxa"/>
            <w:tcMar>
              <w:left w:w="28" w:type="dxa"/>
              <w:right w:w="28" w:type="dxa"/>
            </w:tcMar>
            <w:vAlign w:val="center"/>
          </w:tcPr>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污染物名称</w:t>
            </w:r>
          </w:p>
        </w:tc>
        <w:tc>
          <w:tcPr>
            <w:tcW w:w="1590" w:type="dxa"/>
            <w:tcMar>
              <w:left w:w="28" w:type="dxa"/>
              <w:right w:w="28" w:type="dxa"/>
            </w:tcMar>
            <w:vAlign w:val="center"/>
          </w:tcPr>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现有工程</w:t>
            </w:r>
          </w:p>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排放量（固体废物产生量）</w:t>
            </w:r>
            <w:r>
              <w:rPr>
                <w:rFonts w:cs="Times New Roman"/>
                <w:snapToGrid w:val="0"/>
                <w:spacing w:val="-6"/>
                <w:kern w:val="21"/>
                <w:sz w:val="21"/>
                <w:szCs w:val="21"/>
              </w:rPr>
              <w:fldChar w:fldCharType="begin"/>
            </w:r>
            <w:r>
              <w:rPr>
                <w:rFonts w:cs="Times New Roman"/>
                <w:snapToGrid w:val="0"/>
                <w:spacing w:val="-6"/>
                <w:kern w:val="21"/>
                <w:sz w:val="21"/>
                <w:szCs w:val="21"/>
              </w:rPr>
              <w:instrText xml:space="preserve"> = 1 \* GB3 \* MERGEFORMAT </w:instrText>
            </w:r>
            <w:r>
              <w:rPr>
                <w:rFonts w:cs="Times New Roman"/>
                <w:snapToGrid w:val="0"/>
                <w:spacing w:val="-6"/>
                <w:kern w:val="21"/>
                <w:sz w:val="21"/>
                <w:szCs w:val="21"/>
              </w:rPr>
              <w:fldChar w:fldCharType="separate"/>
            </w:r>
            <w:r>
              <w:rPr>
                <w:rFonts w:cs="Times New Roman"/>
                <w:sz w:val="21"/>
                <w:szCs w:val="21"/>
              </w:rPr>
              <w:t>①</w:t>
            </w:r>
            <w:r>
              <w:rPr>
                <w:rFonts w:cs="Times New Roman"/>
                <w:snapToGrid w:val="0"/>
                <w:spacing w:val="-6"/>
                <w:kern w:val="21"/>
                <w:sz w:val="21"/>
                <w:szCs w:val="21"/>
              </w:rPr>
              <w:fldChar w:fldCharType="end"/>
            </w:r>
          </w:p>
        </w:tc>
        <w:tc>
          <w:tcPr>
            <w:tcW w:w="1037" w:type="dxa"/>
            <w:tcMar>
              <w:left w:w="28" w:type="dxa"/>
              <w:right w:w="28" w:type="dxa"/>
            </w:tcMar>
            <w:vAlign w:val="center"/>
          </w:tcPr>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现有工程</w:t>
            </w:r>
          </w:p>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许可排放量</w:t>
            </w:r>
            <w:r>
              <w:rPr>
                <w:rFonts w:cs="Times New Roman"/>
                <w:snapToGrid w:val="0"/>
                <w:spacing w:val="-6"/>
                <w:kern w:val="21"/>
                <w:sz w:val="21"/>
                <w:szCs w:val="21"/>
              </w:rPr>
              <w:fldChar w:fldCharType="begin"/>
            </w:r>
            <w:r>
              <w:rPr>
                <w:rFonts w:cs="Times New Roman"/>
                <w:snapToGrid w:val="0"/>
                <w:spacing w:val="-6"/>
                <w:kern w:val="21"/>
                <w:sz w:val="21"/>
                <w:szCs w:val="21"/>
              </w:rPr>
              <w:instrText xml:space="preserve"> = 2 \* GB3 \* MERGEFORMAT </w:instrText>
            </w:r>
            <w:r>
              <w:rPr>
                <w:rFonts w:cs="Times New Roman"/>
                <w:snapToGrid w:val="0"/>
                <w:spacing w:val="-6"/>
                <w:kern w:val="21"/>
                <w:sz w:val="21"/>
                <w:szCs w:val="21"/>
              </w:rPr>
              <w:fldChar w:fldCharType="separate"/>
            </w:r>
            <w:r>
              <w:rPr>
                <w:rFonts w:cs="Times New Roman"/>
                <w:snapToGrid w:val="0"/>
                <w:spacing w:val="-6"/>
                <w:kern w:val="21"/>
                <w:sz w:val="21"/>
                <w:szCs w:val="21"/>
              </w:rPr>
              <w:t>②</w:t>
            </w:r>
            <w:r>
              <w:rPr>
                <w:rFonts w:cs="Times New Roman"/>
                <w:snapToGrid w:val="0"/>
                <w:spacing w:val="-6"/>
                <w:kern w:val="21"/>
                <w:sz w:val="21"/>
                <w:szCs w:val="21"/>
              </w:rPr>
              <w:fldChar w:fldCharType="end"/>
            </w:r>
          </w:p>
        </w:tc>
        <w:tc>
          <w:tcPr>
            <w:tcW w:w="1701" w:type="dxa"/>
            <w:tcMar>
              <w:left w:w="28" w:type="dxa"/>
              <w:right w:w="28" w:type="dxa"/>
            </w:tcMar>
            <w:vAlign w:val="center"/>
          </w:tcPr>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在建工程</w:t>
            </w:r>
          </w:p>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排放量（固体废物产生量）</w:t>
            </w:r>
            <w:r>
              <w:rPr>
                <w:rFonts w:cs="Times New Roman"/>
                <w:snapToGrid w:val="0"/>
                <w:spacing w:val="-6"/>
                <w:kern w:val="21"/>
                <w:sz w:val="21"/>
                <w:szCs w:val="21"/>
              </w:rPr>
              <w:fldChar w:fldCharType="begin"/>
            </w:r>
            <w:r>
              <w:rPr>
                <w:rFonts w:cs="Times New Roman"/>
                <w:snapToGrid w:val="0"/>
                <w:spacing w:val="-6"/>
                <w:kern w:val="21"/>
                <w:sz w:val="21"/>
                <w:szCs w:val="21"/>
              </w:rPr>
              <w:instrText xml:space="preserve"> = 3 \* GB3 \* MERGEFORMAT </w:instrText>
            </w:r>
            <w:r>
              <w:rPr>
                <w:rFonts w:cs="Times New Roman"/>
                <w:snapToGrid w:val="0"/>
                <w:spacing w:val="-6"/>
                <w:kern w:val="21"/>
                <w:sz w:val="21"/>
                <w:szCs w:val="21"/>
              </w:rPr>
              <w:fldChar w:fldCharType="separate"/>
            </w:r>
            <w:r>
              <w:rPr>
                <w:rFonts w:cs="Times New Roman"/>
                <w:sz w:val="21"/>
                <w:szCs w:val="21"/>
              </w:rPr>
              <w:t>③</w:t>
            </w:r>
            <w:r>
              <w:rPr>
                <w:rFonts w:cs="Times New Roman"/>
                <w:snapToGrid w:val="0"/>
                <w:spacing w:val="-6"/>
                <w:kern w:val="21"/>
                <w:sz w:val="21"/>
                <w:szCs w:val="21"/>
              </w:rPr>
              <w:fldChar w:fldCharType="end"/>
            </w:r>
          </w:p>
        </w:tc>
        <w:tc>
          <w:tcPr>
            <w:tcW w:w="1559" w:type="dxa"/>
            <w:tcMar>
              <w:left w:w="28" w:type="dxa"/>
              <w:right w:w="28" w:type="dxa"/>
            </w:tcMar>
            <w:vAlign w:val="center"/>
          </w:tcPr>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本项目</w:t>
            </w:r>
          </w:p>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排放量（固体废物产生量）</w:t>
            </w:r>
            <w:r>
              <w:rPr>
                <w:rFonts w:cs="Times New Roman"/>
                <w:snapToGrid w:val="0"/>
                <w:spacing w:val="-6"/>
                <w:kern w:val="21"/>
                <w:sz w:val="21"/>
                <w:szCs w:val="21"/>
              </w:rPr>
              <w:fldChar w:fldCharType="begin"/>
            </w:r>
            <w:r>
              <w:rPr>
                <w:rFonts w:cs="Times New Roman"/>
                <w:snapToGrid w:val="0"/>
                <w:spacing w:val="-6"/>
                <w:kern w:val="21"/>
                <w:sz w:val="21"/>
                <w:szCs w:val="21"/>
              </w:rPr>
              <w:instrText xml:space="preserve"> = 4 \* GB3 \* MERGEFORMAT </w:instrText>
            </w:r>
            <w:r>
              <w:rPr>
                <w:rFonts w:cs="Times New Roman"/>
                <w:snapToGrid w:val="0"/>
                <w:spacing w:val="-6"/>
                <w:kern w:val="21"/>
                <w:sz w:val="21"/>
                <w:szCs w:val="21"/>
              </w:rPr>
              <w:fldChar w:fldCharType="separate"/>
            </w:r>
            <w:r>
              <w:rPr>
                <w:rFonts w:cs="Times New Roman"/>
                <w:sz w:val="21"/>
                <w:szCs w:val="21"/>
              </w:rPr>
              <w:t>④</w:t>
            </w:r>
            <w:r>
              <w:rPr>
                <w:rFonts w:cs="Times New Roman"/>
                <w:snapToGrid w:val="0"/>
                <w:spacing w:val="-6"/>
                <w:kern w:val="21"/>
                <w:sz w:val="21"/>
                <w:szCs w:val="21"/>
              </w:rPr>
              <w:fldChar w:fldCharType="end"/>
            </w:r>
          </w:p>
        </w:tc>
        <w:tc>
          <w:tcPr>
            <w:tcW w:w="1761" w:type="dxa"/>
            <w:tcMar>
              <w:left w:w="28" w:type="dxa"/>
              <w:right w:w="28" w:type="dxa"/>
            </w:tcMar>
            <w:vAlign w:val="center"/>
          </w:tcPr>
          <w:p>
            <w:pPr>
              <w:adjustRightInd w:val="0"/>
              <w:snapToGrid w:val="0"/>
              <w:spacing w:line="240" w:lineRule="auto"/>
              <w:ind w:firstLine="0" w:firstLineChars="0"/>
              <w:jc w:val="center"/>
              <w:rPr>
                <w:rFonts w:cs="Times New Roman"/>
                <w:snapToGrid w:val="0"/>
                <w:spacing w:val="-16"/>
                <w:kern w:val="21"/>
                <w:sz w:val="21"/>
                <w:szCs w:val="21"/>
              </w:rPr>
            </w:pPr>
            <w:r>
              <w:rPr>
                <w:rFonts w:cs="Times New Roman"/>
                <w:snapToGrid w:val="0"/>
                <w:spacing w:val="-16"/>
                <w:kern w:val="21"/>
                <w:sz w:val="21"/>
                <w:szCs w:val="21"/>
              </w:rPr>
              <w:t>以新带老削减量</w:t>
            </w:r>
          </w:p>
          <w:p>
            <w:pPr>
              <w:adjustRightInd w:val="0"/>
              <w:snapToGrid w:val="0"/>
              <w:spacing w:line="240" w:lineRule="auto"/>
              <w:ind w:firstLine="0" w:firstLineChars="0"/>
              <w:jc w:val="center"/>
              <w:rPr>
                <w:rFonts w:cs="Times New Roman"/>
                <w:snapToGrid w:val="0"/>
                <w:spacing w:val="-16"/>
                <w:kern w:val="21"/>
                <w:sz w:val="21"/>
                <w:szCs w:val="21"/>
              </w:rPr>
            </w:pPr>
            <w:r>
              <w:rPr>
                <w:rFonts w:cs="Times New Roman"/>
                <w:snapToGrid w:val="0"/>
                <w:spacing w:val="-16"/>
                <w:kern w:val="21"/>
                <w:sz w:val="21"/>
                <w:szCs w:val="21"/>
              </w:rPr>
              <w:t>（新建项目不填）</w:t>
            </w:r>
            <w:r>
              <w:rPr>
                <w:rFonts w:cs="Times New Roman"/>
                <w:snapToGrid w:val="0"/>
                <w:spacing w:val="-16"/>
                <w:kern w:val="21"/>
                <w:sz w:val="21"/>
                <w:szCs w:val="21"/>
              </w:rPr>
              <w:fldChar w:fldCharType="begin"/>
            </w:r>
            <w:r>
              <w:rPr>
                <w:rFonts w:cs="Times New Roman"/>
                <w:snapToGrid w:val="0"/>
                <w:spacing w:val="-16"/>
                <w:kern w:val="21"/>
                <w:sz w:val="21"/>
                <w:szCs w:val="21"/>
              </w:rPr>
              <w:instrText xml:space="preserve"> = 5 \* GB3 \* MERGEFORMAT </w:instrText>
            </w:r>
            <w:r>
              <w:rPr>
                <w:rFonts w:cs="Times New Roman"/>
                <w:snapToGrid w:val="0"/>
                <w:spacing w:val="-16"/>
                <w:kern w:val="21"/>
                <w:sz w:val="21"/>
                <w:szCs w:val="21"/>
              </w:rPr>
              <w:fldChar w:fldCharType="separate"/>
            </w:r>
            <w:r>
              <w:rPr>
                <w:rFonts w:cs="Times New Roman"/>
                <w:sz w:val="21"/>
                <w:szCs w:val="21"/>
              </w:rPr>
              <w:t>⑤</w:t>
            </w:r>
            <w:r>
              <w:rPr>
                <w:rFonts w:cs="Times New Roman"/>
                <w:snapToGrid w:val="0"/>
                <w:spacing w:val="-16"/>
                <w:kern w:val="21"/>
                <w:sz w:val="21"/>
                <w:szCs w:val="21"/>
              </w:rPr>
              <w:fldChar w:fldCharType="end"/>
            </w:r>
          </w:p>
        </w:tc>
        <w:tc>
          <w:tcPr>
            <w:tcW w:w="1686" w:type="dxa"/>
            <w:tcMar>
              <w:left w:w="28" w:type="dxa"/>
              <w:right w:w="28" w:type="dxa"/>
            </w:tcMar>
            <w:vAlign w:val="center"/>
          </w:tcPr>
          <w:p>
            <w:pPr>
              <w:adjustRightInd w:val="0"/>
              <w:snapToGrid w:val="0"/>
              <w:spacing w:line="240" w:lineRule="auto"/>
              <w:ind w:firstLine="0" w:firstLineChars="0"/>
              <w:jc w:val="center"/>
              <w:rPr>
                <w:rFonts w:cs="Times New Roman"/>
                <w:snapToGrid w:val="0"/>
                <w:spacing w:val="-16"/>
                <w:kern w:val="21"/>
                <w:sz w:val="21"/>
                <w:szCs w:val="21"/>
              </w:rPr>
            </w:pPr>
            <w:r>
              <w:rPr>
                <w:rFonts w:cs="Times New Roman"/>
                <w:snapToGrid w:val="0"/>
                <w:spacing w:val="-16"/>
                <w:kern w:val="21"/>
                <w:sz w:val="21"/>
                <w:szCs w:val="21"/>
              </w:rPr>
              <w:t>本项目建成后</w:t>
            </w:r>
          </w:p>
          <w:p>
            <w:pPr>
              <w:adjustRightInd w:val="0"/>
              <w:snapToGrid w:val="0"/>
              <w:spacing w:line="240" w:lineRule="auto"/>
              <w:ind w:firstLine="0" w:firstLineChars="0"/>
              <w:jc w:val="center"/>
              <w:rPr>
                <w:rFonts w:cs="Times New Roman"/>
                <w:snapToGrid w:val="0"/>
                <w:spacing w:val="-16"/>
                <w:kern w:val="21"/>
                <w:sz w:val="21"/>
                <w:szCs w:val="21"/>
              </w:rPr>
            </w:pPr>
            <w:r>
              <w:rPr>
                <w:rFonts w:cs="Times New Roman"/>
                <w:snapToGrid w:val="0"/>
                <w:spacing w:val="-16"/>
                <w:kern w:val="21"/>
                <w:sz w:val="21"/>
                <w:szCs w:val="21"/>
              </w:rPr>
              <w:t>全厂排放量（固体废物产生量）</w:t>
            </w:r>
            <w:r>
              <w:rPr>
                <w:rFonts w:cs="Times New Roman"/>
                <w:snapToGrid w:val="0"/>
                <w:spacing w:val="-16"/>
                <w:kern w:val="21"/>
                <w:sz w:val="21"/>
                <w:szCs w:val="21"/>
              </w:rPr>
              <w:fldChar w:fldCharType="begin"/>
            </w:r>
            <w:r>
              <w:rPr>
                <w:rFonts w:cs="Times New Roman"/>
                <w:snapToGrid w:val="0"/>
                <w:spacing w:val="-16"/>
                <w:kern w:val="21"/>
                <w:sz w:val="21"/>
                <w:szCs w:val="21"/>
              </w:rPr>
              <w:instrText xml:space="preserve"> = 6 \* GB3 \* MERGEFORMAT </w:instrText>
            </w:r>
            <w:r>
              <w:rPr>
                <w:rFonts w:cs="Times New Roman"/>
                <w:snapToGrid w:val="0"/>
                <w:spacing w:val="-16"/>
                <w:kern w:val="21"/>
                <w:sz w:val="21"/>
                <w:szCs w:val="21"/>
              </w:rPr>
              <w:fldChar w:fldCharType="separate"/>
            </w:r>
            <w:r>
              <w:rPr>
                <w:rFonts w:cs="Times New Roman"/>
                <w:sz w:val="21"/>
                <w:szCs w:val="21"/>
              </w:rPr>
              <w:t>⑥</w:t>
            </w:r>
            <w:r>
              <w:rPr>
                <w:rFonts w:cs="Times New Roman"/>
                <w:snapToGrid w:val="0"/>
                <w:spacing w:val="-16"/>
                <w:kern w:val="21"/>
                <w:sz w:val="21"/>
                <w:szCs w:val="21"/>
              </w:rPr>
              <w:fldChar w:fldCharType="end"/>
            </w:r>
          </w:p>
        </w:tc>
        <w:tc>
          <w:tcPr>
            <w:tcW w:w="1265" w:type="dxa"/>
            <w:tcMar>
              <w:left w:w="28" w:type="dxa"/>
              <w:right w:w="28" w:type="dxa"/>
            </w:tcMar>
            <w:vAlign w:val="center"/>
          </w:tcPr>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t>变化量</w:t>
            </w:r>
          </w:p>
          <w:p>
            <w:pPr>
              <w:adjustRightInd w:val="0"/>
              <w:snapToGrid w:val="0"/>
              <w:spacing w:line="240" w:lineRule="auto"/>
              <w:ind w:firstLine="0" w:firstLineChars="0"/>
              <w:jc w:val="center"/>
              <w:rPr>
                <w:rFonts w:cs="Times New Roman"/>
                <w:snapToGrid w:val="0"/>
                <w:spacing w:val="-6"/>
                <w:kern w:val="21"/>
                <w:sz w:val="21"/>
                <w:szCs w:val="21"/>
              </w:rPr>
            </w:pPr>
            <w:r>
              <w:rPr>
                <w:rFonts w:cs="Times New Roman"/>
                <w:snapToGrid w:val="0"/>
                <w:spacing w:val="-6"/>
                <w:kern w:val="21"/>
                <w:sz w:val="21"/>
                <w:szCs w:val="21"/>
              </w:rPr>
              <w:fldChar w:fldCharType="begin"/>
            </w:r>
            <w:r>
              <w:rPr>
                <w:rFonts w:cs="Times New Roman"/>
                <w:snapToGrid w:val="0"/>
                <w:spacing w:val="-6"/>
                <w:kern w:val="21"/>
                <w:sz w:val="21"/>
                <w:szCs w:val="21"/>
              </w:rPr>
              <w:instrText xml:space="preserve"> = 7 \* GB3 \* MERGEFORMAT </w:instrText>
            </w:r>
            <w:r>
              <w:rPr>
                <w:rFonts w:cs="Times New Roman"/>
                <w:snapToGrid w:val="0"/>
                <w:spacing w:val="-6"/>
                <w:kern w:val="21"/>
                <w:sz w:val="21"/>
                <w:szCs w:val="21"/>
              </w:rPr>
              <w:fldChar w:fldCharType="separate"/>
            </w:r>
            <w:r>
              <w:rPr>
                <w:rFonts w:cs="Times New Roman"/>
                <w:sz w:val="21"/>
                <w:szCs w:val="21"/>
              </w:rPr>
              <w:t>⑦</w:t>
            </w:r>
            <w:r>
              <w:rPr>
                <w:rFonts w:cs="Times New Roman"/>
                <w:snapToGrid w:val="0"/>
                <w:spacing w:val="-6"/>
                <w:kern w:val="21"/>
                <w:sz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vAlign w:val="center"/>
          </w:tcPr>
          <w:p>
            <w:pPr>
              <w:adjustRightInd w:val="0"/>
              <w:snapToGrid w:val="0"/>
              <w:spacing w:line="240" w:lineRule="auto"/>
              <w:ind w:firstLine="0" w:firstLineChars="0"/>
              <w:jc w:val="center"/>
              <w:rPr>
                <w:rFonts w:cs="Times New Roman"/>
                <w:snapToGrid w:val="0"/>
                <w:kern w:val="21"/>
                <w:sz w:val="21"/>
                <w:szCs w:val="21"/>
              </w:rPr>
            </w:pPr>
            <w:r>
              <w:rPr>
                <w:rFonts w:hint="eastAsia" w:cs="Times New Roman"/>
                <w:snapToGrid w:val="0"/>
                <w:kern w:val="21"/>
                <w:sz w:val="21"/>
                <w:szCs w:val="21"/>
              </w:rPr>
              <w:t>废气</w:t>
            </w:r>
          </w:p>
        </w:tc>
        <w:tc>
          <w:tcPr>
            <w:tcW w:w="2191" w:type="dxa"/>
            <w:vAlign w:val="center"/>
          </w:tcPr>
          <w:p>
            <w:pPr>
              <w:pStyle w:val="33"/>
              <w:spacing w:after="0" w:line="240" w:lineRule="auto"/>
              <w:ind w:left="0" w:leftChars="0" w:firstLine="0" w:firstLineChars="0"/>
              <w:jc w:val="center"/>
              <w:rPr>
                <w:sz w:val="21"/>
                <w:szCs w:val="21"/>
              </w:rPr>
            </w:pPr>
            <w:r>
              <w:rPr>
                <w:rFonts w:hint="eastAsia"/>
                <w:sz w:val="21"/>
                <w:szCs w:val="21"/>
              </w:rPr>
              <w:t>颗粒物</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adjustRightInd w:val="0"/>
              <w:snapToGrid w:val="0"/>
              <w:spacing w:line="240" w:lineRule="auto"/>
              <w:ind w:firstLine="0" w:firstLineChars="0"/>
              <w:jc w:val="center"/>
              <w:rPr>
                <w:rFonts w:cs="Times New Roman"/>
                <w:snapToGrid w:val="0"/>
                <w:kern w:val="21"/>
                <w:sz w:val="21"/>
                <w:szCs w:val="21"/>
              </w:rPr>
            </w:pPr>
            <w:r>
              <w:rPr>
                <w:rFonts w:hint="eastAsia" w:cs="Times New Roman"/>
                <w:snapToGrid w:val="0"/>
                <w:kern w:val="21"/>
                <w:sz w:val="21"/>
                <w:szCs w:val="21"/>
              </w:rPr>
              <w:t>0</w:t>
            </w:r>
          </w:p>
        </w:tc>
        <w:tc>
          <w:tcPr>
            <w:tcW w:w="176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686" w:type="dxa"/>
            <w:vAlign w:val="center"/>
          </w:tcPr>
          <w:p>
            <w:pPr>
              <w:adjustRightInd w:val="0"/>
              <w:snapToGrid w:val="0"/>
              <w:spacing w:line="240" w:lineRule="auto"/>
              <w:ind w:firstLine="0" w:firstLineChars="0"/>
              <w:jc w:val="center"/>
              <w:rPr>
                <w:rFonts w:cs="Times New Roman"/>
                <w:snapToGrid w:val="0"/>
                <w:kern w:val="21"/>
                <w:sz w:val="21"/>
                <w:szCs w:val="21"/>
              </w:rPr>
            </w:pPr>
            <w:r>
              <w:rPr>
                <w:rFonts w:hint="eastAsia" w:cs="Times New Roman"/>
                <w:snapToGrid w:val="0"/>
                <w:kern w:val="21"/>
                <w:sz w:val="21"/>
                <w:szCs w:val="21"/>
              </w:rPr>
              <w:t>0</w:t>
            </w:r>
          </w:p>
        </w:tc>
        <w:tc>
          <w:tcPr>
            <w:tcW w:w="1265" w:type="dxa"/>
            <w:vAlign w:val="center"/>
          </w:tcPr>
          <w:p>
            <w:pPr>
              <w:adjustRightInd w:val="0"/>
              <w:snapToGrid w:val="0"/>
              <w:spacing w:line="240" w:lineRule="auto"/>
              <w:ind w:firstLine="0" w:firstLineChars="0"/>
              <w:jc w:val="center"/>
              <w:rPr>
                <w:rFonts w:cs="Times New Roman"/>
                <w:snapToGrid w:val="0"/>
                <w:kern w:val="21"/>
                <w:sz w:val="21"/>
                <w:szCs w:val="21"/>
              </w:rPr>
            </w:pPr>
            <w:r>
              <w:rPr>
                <w:rFonts w:hint="eastAsia" w:cs="Times New Roman"/>
                <w:snapToGrid w:val="0"/>
                <w:kern w:val="21"/>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vMerge w:val="restart"/>
            <w:vAlign w:val="center"/>
          </w:tcPr>
          <w:p>
            <w:pPr>
              <w:adjustRightInd w:val="0"/>
              <w:snapToGrid w:val="0"/>
              <w:spacing w:line="240" w:lineRule="auto"/>
              <w:ind w:firstLine="0" w:firstLineChars="0"/>
              <w:jc w:val="center"/>
              <w:rPr>
                <w:rFonts w:cs="Times New Roman"/>
                <w:snapToGrid w:val="0"/>
                <w:kern w:val="21"/>
                <w:sz w:val="21"/>
                <w:szCs w:val="21"/>
              </w:rPr>
            </w:pPr>
            <w:r>
              <w:rPr>
                <w:rFonts w:hint="eastAsia" w:cs="Times New Roman"/>
                <w:snapToGrid w:val="0"/>
                <w:kern w:val="21"/>
                <w:sz w:val="21"/>
                <w:szCs w:val="21"/>
              </w:rPr>
              <w:t>废水</w:t>
            </w:r>
          </w:p>
        </w:tc>
        <w:tc>
          <w:tcPr>
            <w:tcW w:w="2191" w:type="dxa"/>
            <w:vAlign w:val="center"/>
          </w:tcPr>
          <w:p>
            <w:pPr>
              <w:tabs>
                <w:tab w:val="left" w:pos="3500"/>
              </w:tabs>
              <w:spacing w:line="240" w:lineRule="auto"/>
              <w:ind w:firstLine="0" w:firstLineChars="0"/>
              <w:jc w:val="center"/>
              <w:rPr>
                <w:rFonts w:cs="Times New Roman"/>
                <w:sz w:val="21"/>
                <w:szCs w:val="21"/>
              </w:rPr>
            </w:pPr>
            <w:r>
              <w:rPr>
                <w:rFonts w:hint="eastAsia" w:cs="Times New Roman"/>
                <w:sz w:val="21"/>
                <w:szCs w:val="21"/>
              </w:rPr>
              <w:t>COD</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spacing w:line="240" w:lineRule="auto"/>
              <w:ind w:firstLine="0" w:firstLineChars="0"/>
              <w:jc w:val="center"/>
              <w:rPr>
                <w:rFonts w:cs="Times New Roman"/>
                <w:sz w:val="21"/>
                <w:szCs w:val="21"/>
              </w:rPr>
            </w:pPr>
            <w:r>
              <w:rPr>
                <w:rFonts w:hint="eastAsia" w:cs="Times New Roman"/>
                <w:sz w:val="21"/>
                <w:szCs w:val="21"/>
              </w:rPr>
              <w:t>0</w:t>
            </w:r>
          </w:p>
        </w:tc>
        <w:tc>
          <w:tcPr>
            <w:tcW w:w="176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686" w:type="dxa"/>
            <w:vAlign w:val="center"/>
          </w:tcPr>
          <w:p>
            <w:pPr>
              <w:spacing w:line="240" w:lineRule="auto"/>
              <w:ind w:firstLine="0" w:firstLineChars="0"/>
              <w:jc w:val="center"/>
              <w:rPr>
                <w:rFonts w:cs="Times New Roman"/>
                <w:sz w:val="21"/>
                <w:szCs w:val="21"/>
              </w:rPr>
            </w:pPr>
            <w:r>
              <w:rPr>
                <w:rFonts w:hint="eastAsia" w:cs="Times New Roman"/>
                <w:sz w:val="21"/>
                <w:szCs w:val="21"/>
              </w:rPr>
              <w:t>0</w:t>
            </w:r>
          </w:p>
        </w:tc>
        <w:tc>
          <w:tcPr>
            <w:tcW w:w="1265" w:type="dxa"/>
            <w:vAlign w:val="center"/>
          </w:tcPr>
          <w:p>
            <w:pPr>
              <w:spacing w:line="240" w:lineRule="auto"/>
              <w:ind w:firstLine="0" w:firstLineChars="0"/>
              <w:jc w:val="center"/>
              <w:rPr>
                <w:rFonts w:cs="Times New Roman"/>
                <w:sz w:val="21"/>
                <w:szCs w:val="21"/>
              </w:rPr>
            </w:pPr>
            <w:r>
              <w:rPr>
                <w:rFonts w:hint="eastAsia" w:cs="Times New Roman"/>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64" w:type="dxa"/>
            <w:vMerge w:val="continue"/>
            <w:vAlign w:val="center"/>
          </w:tcPr>
          <w:p>
            <w:pPr>
              <w:adjustRightInd w:val="0"/>
              <w:snapToGrid w:val="0"/>
              <w:spacing w:line="240" w:lineRule="auto"/>
              <w:ind w:firstLine="0" w:firstLineChars="0"/>
              <w:jc w:val="center"/>
              <w:rPr>
                <w:rFonts w:cs="Times New Roman"/>
                <w:snapToGrid w:val="0"/>
                <w:kern w:val="21"/>
                <w:sz w:val="21"/>
                <w:szCs w:val="21"/>
              </w:rPr>
            </w:pPr>
          </w:p>
        </w:tc>
        <w:tc>
          <w:tcPr>
            <w:tcW w:w="2191" w:type="dxa"/>
            <w:vAlign w:val="center"/>
          </w:tcPr>
          <w:p>
            <w:pPr>
              <w:tabs>
                <w:tab w:val="left" w:pos="3500"/>
              </w:tabs>
              <w:spacing w:line="240" w:lineRule="auto"/>
              <w:ind w:firstLine="0" w:firstLineChars="0"/>
              <w:jc w:val="center"/>
              <w:rPr>
                <w:rFonts w:cs="Times New Roman"/>
                <w:sz w:val="21"/>
                <w:szCs w:val="21"/>
              </w:rPr>
            </w:pPr>
            <w:r>
              <w:rPr>
                <w:rFonts w:hint="eastAsia" w:cs="Times New Roman"/>
                <w:sz w:val="21"/>
                <w:szCs w:val="21"/>
              </w:rPr>
              <w:t>氨氮</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spacing w:line="240" w:lineRule="auto"/>
              <w:ind w:firstLine="0" w:firstLineChars="0"/>
              <w:jc w:val="center"/>
              <w:rPr>
                <w:rFonts w:cs="Times New Roman"/>
                <w:sz w:val="21"/>
                <w:szCs w:val="21"/>
              </w:rPr>
            </w:pPr>
            <w:r>
              <w:rPr>
                <w:rFonts w:hint="eastAsia" w:cs="Times New Roman"/>
                <w:sz w:val="21"/>
                <w:szCs w:val="21"/>
              </w:rPr>
              <w:t>0</w:t>
            </w:r>
          </w:p>
        </w:tc>
        <w:tc>
          <w:tcPr>
            <w:tcW w:w="176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686" w:type="dxa"/>
            <w:vAlign w:val="center"/>
          </w:tcPr>
          <w:p>
            <w:pPr>
              <w:spacing w:line="240" w:lineRule="auto"/>
              <w:ind w:firstLine="0" w:firstLineChars="0"/>
              <w:jc w:val="center"/>
              <w:rPr>
                <w:rFonts w:cs="Times New Roman"/>
                <w:sz w:val="21"/>
                <w:szCs w:val="21"/>
              </w:rPr>
            </w:pPr>
            <w:r>
              <w:rPr>
                <w:rFonts w:hint="eastAsia" w:cs="Times New Roman"/>
                <w:sz w:val="21"/>
                <w:szCs w:val="21"/>
              </w:rPr>
              <w:t>0</w:t>
            </w:r>
          </w:p>
        </w:tc>
        <w:tc>
          <w:tcPr>
            <w:tcW w:w="1265" w:type="dxa"/>
            <w:vAlign w:val="center"/>
          </w:tcPr>
          <w:p>
            <w:pPr>
              <w:spacing w:line="240" w:lineRule="auto"/>
              <w:ind w:firstLine="0" w:firstLineChars="0"/>
              <w:jc w:val="center"/>
              <w:rPr>
                <w:rFonts w:cs="Times New Roman"/>
                <w:sz w:val="21"/>
                <w:szCs w:val="21"/>
              </w:rPr>
            </w:pPr>
            <w:r>
              <w:rPr>
                <w:rFonts w:hint="eastAsia" w:cs="Times New Roman"/>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vAlign w:val="center"/>
          </w:tcPr>
          <w:p>
            <w:pPr>
              <w:adjustRightInd w:val="0"/>
              <w:snapToGrid w:val="0"/>
              <w:spacing w:line="240" w:lineRule="auto"/>
              <w:ind w:firstLine="0" w:firstLineChars="0"/>
              <w:jc w:val="center"/>
              <w:rPr>
                <w:rFonts w:cs="Times New Roman"/>
                <w:snapToGrid w:val="0"/>
                <w:kern w:val="21"/>
                <w:sz w:val="21"/>
                <w:szCs w:val="21"/>
              </w:rPr>
            </w:pPr>
            <w:r>
              <w:rPr>
                <w:rFonts w:hint="eastAsia" w:cs="Times New Roman"/>
                <w:snapToGrid w:val="0"/>
                <w:kern w:val="21"/>
                <w:sz w:val="21"/>
                <w:szCs w:val="21"/>
              </w:rPr>
              <w:t>一般固废</w:t>
            </w:r>
          </w:p>
        </w:tc>
        <w:tc>
          <w:tcPr>
            <w:tcW w:w="2191" w:type="dxa"/>
            <w:vAlign w:val="center"/>
          </w:tcPr>
          <w:p>
            <w:pPr>
              <w:widowControl/>
              <w:adjustRightInd w:val="0"/>
              <w:snapToGrid w:val="0"/>
              <w:spacing w:line="240" w:lineRule="auto"/>
              <w:ind w:firstLine="0" w:firstLineChars="0"/>
              <w:jc w:val="center"/>
              <w:rPr>
                <w:sz w:val="21"/>
                <w:szCs w:val="20"/>
              </w:rPr>
            </w:pPr>
            <w:r>
              <w:rPr>
                <w:rFonts w:hint="eastAsia"/>
                <w:sz w:val="21"/>
                <w:szCs w:val="20"/>
              </w:rPr>
              <w:t>/</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spacing w:line="240" w:lineRule="auto"/>
              <w:ind w:firstLine="0" w:firstLineChars="0"/>
              <w:jc w:val="center"/>
              <w:rPr>
                <w:rFonts w:cs="Times New Roman"/>
                <w:bCs/>
                <w:sz w:val="21"/>
                <w:szCs w:val="21"/>
              </w:rPr>
            </w:pPr>
            <w:r>
              <w:rPr>
                <w:rFonts w:hint="eastAsia" w:cs="Times New Roman"/>
                <w:bCs/>
                <w:sz w:val="21"/>
                <w:szCs w:val="21"/>
              </w:rPr>
              <w:t>/</w:t>
            </w:r>
          </w:p>
        </w:tc>
        <w:tc>
          <w:tcPr>
            <w:tcW w:w="1761" w:type="dxa"/>
            <w:vAlign w:val="center"/>
          </w:tcPr>
          <w:p>
            <w:pPr>
              <w:spacing w:line="240" w:lineRule="auto"/>
              <w:ind w:firstLine="0" w:firstLineChars="0"/>
              <w:jc w:val="center"/>
              <w:rPr>
                <w:rFonts w:cs="Times New Roman"/>
                <w:bCs/>
                <w:sz w:val="21"/>
                <w:szCs w:val="21"/>
              </w:rPr>
            </w:pPr>
          </w:p>
        </w:tc>
        <w:tc>
          <w:tcPr>
            <w:tcW w:w="1686" w:type="dxa"/>
            <w:vAlign w:val="center"/>
          </w:tcPr>
          <w:p>
            <w:pPr>
              <w:pStyle w:val="106"/>
              <w:spacing w:line="240" w:lineRule="auto"/>
              <w:ind w:firstLine="0" w:firstLineChars="0"/>
              <w:rPr>
                <w:rFonts w:ascii="Times New Roman" w:hAnsi="Times New Roman"/>
                <w:w w:val="100"/>
                <w:sz w:val="21"/>
                <w:szCs w:val="20"/>
              </w:rPr>
            </w:pPr>
            <w:r>
              <w:rPr>
                <w:rFonts w:hint="eastAsia" w:ascii="Times New Roman" w:hAnsi="Times New Roman"/>
                <w:w w:val="100"/>
                <w:sz w:val="21"/>
                <w:szCs w:val="20"/>
              </w:rPr>
              <w:t>/</w:t>
            </w:r>
          </w:p>
        </w:tc>
        <w:tc>
          <w:tcPr>
            <w:tcW w:w="1265" w:type="dxa"/>
            <w:vAlign w:val="center"/>
          </w:tcPr>
          <w:p>
            <w:pPr>
              <w:spacing w:line="240" w:lineRule="auto"/>
              <w:ind w:firstLine="0" w:firstLineChars="0"/>
              <w:jc w:val="center"/>
              <w:rPr>
                <w:rFonts w:cs="Times New Roman"/>
                <w:bCs/>
                <w:sz w:val="21"/>
                <w:szCs w:val="21"/>
              </w:rPr>
            </w:pPr>
            <w:r>
              <w:rPr>
                <w:rFonts w:hint="eastAsia" w:cs="Times New Roman"/>
                <w:bCs/>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vMerge w:val="restart"/>
            <w:vAlign w:val="center"/>
          </w:tcPr>
          <w:p>
            <w:pPr>
              <w:adjustRightInd w:val="0"/>
              <w:snapToGrid w:val="0"/>
              <w:spacing w:line="240" w:lineRule="auto"/>
              <w:ind w:firstLine="0" w:firstLineChars="0"/>
              <w:jc w:val="center"/>
              <w:rPr>
                <w:rFonts w:cs="Times New Roman"/>
                <w:snapToGrid w:val="0"/>
                <w:kern w:val="21"/>
                <w:sz w:val="21"/>
                <w:szCs w:val="21"/>
              </w:rPr>
            </w:pPr>
            <w:r>
              <w:rPr>
                <w:rFonts w:hint="eastAsia" w:cs="Times New Roman"/>
                <w:snapToGrid w:val="0"/>
                <w:kern w:val="21"/>
                <w:sz w:val="21"/>
                <w:szCs w:val="21"/>
              </w:rPr>
              <w:t>危险废物</w:t>
            </w:r>
          </w:p>
        </w:tc>
        <w:tc>
          <w:tcPr>
            <w:tcW w:w="2191" w:type="dxa"/>
            <w:vAlign w:val="center"/>
          </w:tcPr>
          <w:p>
            <w:pPr>
              <w:pStyle w:val="42"/>
              <w:spacing w:line="240" w:lineRule="auto"/>
              <w:ind w:firstLine="0" w:firstLineChars="0"/>
              <w:jc w:val="center"/>
              <w:rPr>
                <w:color w:val="auto"/>
                <w:sz w:val="21"/>
                <w:szCs w:val="20"/>
              </w:rPr>
            </w:pPr>
            <w:r>
              <w:rPr>
                <w:rFonts w:hint="eastAsia"/>
                <w:color w:val="auto"/>
                <w:sz w:val="21"/>
                <w:szCs w:val="20"/>
              </w:rPr>
              <w:t>废机油</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spacing w:line="240" w:lineRule="auto"/>
              <w:ind w:firstLine="0" w:firstLineChars="0"/>
              <w:jc w:val="center"/>
              <w:rPr>
                <w:rFonts w:cs="Times New Roman"/>
                <w:sz w:val="21"/>
                <w:szCs w:val="21"/>
              </w:rPr>
            </w:pPr>
            <w:r>
              <w:rPr>
                <w:rFonts w:hint="eastAsia" w:cs="Times New Roman"/>
                <w:sz w:val="21"/>
                <w:szCs w:val="21"/>
              </w:rPr>
              <w:t>0.1</w:t>
            </w:r>
          </w:p>
        </w:tc>
        <w:tc>
          <w:tcPr>
            <w:tcW w:w="176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686" w:type="dxa"/>
            <w:vAlign w:val="center"/>
          </w:tcPr>
          <w:p>
            <w:pPr>
              <w:spacing w:line="240" w:lineRule="auto"/>
              <w:ind w:firstLine="0" w:firstLineChars="0"/>
              <w:jc w:val="center"/>
              <w:rPr>
                <w:sz w:val="21"/>
                <w:szCs w:val="20"/>
              </w:rPr>
            </w:pPr>
            <w:r>
              <w:rPr>
                <w:rFonts w:hint="eastAsia" w:cs="Times New Roman"/>
                <w:sz w:val="21"/>
                <w:szCs w:val="21"/>
              </w:rPr>
              <w:t>0.1</w:t>
            </w:r>
          </w:p>
        </w:tc>
        <w:tc>
          <w:tcPr>
            <w:tcW w:w="1265" w:type="dxa"/>
            <w:vAlign w:val="center"/>
          </w:tcPr>
          <w:p>
            <w:pPr>
              <w:spacing w:line="240" w:lineRule="auto"/>
              <w:ind w:firstLine="0" w:firstLineChars="0"/>
              <w:jc w:val="center"/>
              <w:rPr>
                <w:rFonts w:cs="Times New Roman"/>
                <w:sz w:val="21"/>
                <w:szCs w:val="21"/>
              </w:rPr>
            </w:pPr>
            <w:r>
              <w:rPr>
                <w:rFonts w:hint="eastAsia" w:cs="Times New Roman"/>
                <w:sz w:val="21"/>
                <w:szCs w:val="21"/>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vMerge w:val="continue"/>
            <w:vAlign w:val="center"/>
          </w:tcPr>
          <w:p>
            <w:pPr>
              <w:adjustRightInd w:val="0"/>
              <w:snapToGrid w:val="0"/>
              <w:spacing w:line="240" w:lineRule="auto"/>
              <w:ind w:firstLine="0" w:firstLineChars="0"/>
              <w:jc w:val="center"/>
              <w:rPr>
                <w:rFonts w:cs="Times New Roman"/>
                <w:snapToGrid w:val="0"/>
                <w:kern w:val="21"/>
                <w:sz w:val="21"/>
                <w:szCs w:val="21"/>
              </w:rPr>
            </w:pPr>
          </w:p>
        </w:tc>
        <w:tc>
          <w:tcPr>
            <w:tcW w:w="2191" w:type="dxa"/>
            <w:vAlign w:val="center"/>
          </w:tcPr>
          <w:p>
            <w:pPr>
              <w:pStyle w:val="42"/>
              <w:spacing w:line="240" w:lineRule="auto"/>
              <w:ind w:firstLine="0" w:firstLineChars="0"/>
              <w:jc w:val="center"/>
              <w:rPr>
                <w:color w:val="auto"/>
                <w:sz w:val="21"/>
                <w:szCs w:val="20"/>
              </w:rPr>
            </w:pPr>
            <w:r>
              <w:rPr>
                <w:rFonts w:hint="eastAsia"/>
                <w:color w:val="auto"/>
                <w:sz w:val="21"/>
                <w:szCs w:val="20"/>
              </w:rPr>
              <w:t>废液压油</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spacing w:line="240" w:lineRule="auto"/>
              <w:ind w:firstLine="0" w:firstLineChars="0"/>
              <w:jc w:val="center"/>
              <w:rPr>
                <w:rFonts w:cs="Times New Roman"/>
                <w:sz w:val="21"/>
                <w:szCs w:val="21"/>
              </w:rPr>
            </w:pPr>
            <w:r>
              <w:rPr>
                <w:rFonts w:hint="eastAsia" w:cs="Times New Roman"/>
                <w:sz w:val="21"/>
                <w:szCs w:val="21"/>
              </w:rPr>
              <w:t>0</w:t>
            </w:r>
            <w:r>
              <w:rPr>
                <w:rFonts w:cs="Times New Roman"/>
                <w:sz w:val="21"/>
                <w:szCs w:val="21"/>
              </w:rPr>
              <w:t>.64</w:t>
            </w:r>
          </w:p>
        </w:tc>
        <w:tc>
          <w:tcPr>
            <w:tcW w:w="176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686" w:type="dxa"/>
            <w:vAlign w:val="center"/>
          </w:tcPr>
          <w:p>
            <w:pPr>
              <w:spacing w:line="240" w:lineRule="auto"/>
              <w:ind w:firstLine="0" w:firstLineChars="0"/>
              <w:jc w:val="center"/>
              <w:rPr>
                <w:rFonts w:cs="Times New Roman"/>
                <w:sz w:val="21"/>
                <w:szCs w:val="21"/>
              </w:rPr>
            </w:pPr>
            <w:r>
              <w:rPr>
                <w:rFonts w:hint="eastAsia" w:cs="Times New Roman"/>
                <w:sz w:val="21"/>
                <w:szCs w:val="21"/>
              </w:rPr>
              <w:t>0</w:t>
            </w:r>
            <w:r>
              <w:rPr>
                <w:rFonts w:cs="Times New Roman"/>
                <w:sz w:val="21"/>
                <w:szCs w:val="21"/>
              </w:rPr>
              <w:t>.64</w:t>
            </w:r>
          </w:p>
        </w:tc>
        <w:tc>
          <w:tcPr>
            <w:tcW w:w="1265" w:type="dxa"/>
            <w:vAlign w:val="center"/>
          </w:tcPr>
          <w:p>
            <w:pPr>
              <w:spacing w:line="240" w:lineRule="auto"/>
              <w:ind w:firstLine="0" w:firstLineChars="0"/>
              <w:jc w:val="center"/>
              <w:rPr>
                <w:rFonts w:cs="Times New Roman"/>
                <w:sz w:val="21"/>
                <w:szCs w:val="21"/>
              </w:rPr>
            </w:pPr>
            <w:r>
              <w:rPr>
                <w:rFonts w:hint="eastAsia" w:cs="Times New Roman"/>
                <w:sz w:val="21"/>
                <w:szCs w:val="21"/>
              </w:rPr>
              <w:t>+0</w:t>
            </w:r>
            <w:r>
              <w:rPr>
                <w:rFonts w:cs="Times New Roman"/>
                <w:sz w:val="21"/>
                <w:szCs w:val="21"/>
              </w:rPr>
              <w:t>.64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vMerge w:val="continue"/>
            <w:vAlign w:val="center"/>
          </w:tcPr>
          <w:p>
            <w:pPr>
              <w:adjustRightInd w:val="0"/>
              <w:snapToGrid w:val="0"/>
              <w:spacing w:line="240" w:lineRule="auto"/>
              <w:ind w:firstLine="0" w:firstLineChars="0"/>
              <w:jc w:val="center"/>
              <w:rPr>
                <w:rFonts w:cs="Times New Roman"/>
                <w:snapToGrid w:val="0"/>
                <w:kern w:val="21"/>
                <w:sz w:val="21"/>
                <w:szCs w:val="21"/>
              </w:rPr>
            </w:pPr>
          </w:p>
        </w:tc>
        <w:tc>
          <w:tcPr>
            <w:tcW w:w="2191" w:type="dxa"/>
            <w:vAlign w:val="center"/>
          </w:tcPr>
          <w:p>
            <w:pPr>
              <w:pStyle w:val="42"/>
              <w:spacing w:line="240" w:lineRule="auto"/>
              <w:ind w:firstLine="0" w:firstLineChars="0"/>
              <w:jc w:val="center"/>
              <w:rPr>
                <w:color w:val="auto"/>
                <w:sz w:val="21"/>
                <w:szCs w:val="21"/>
              </w:rPr>
            </w:pPr>
            <w:r>
              <w:rPr>
                <w:rFonts w:hint="eastAsia"/>
                <w:color w:val="auto"/>
                <w:sz w:val="21"/>
                <w:szCs w:val="21"/>
              </w:rPr>
              <w:t>废油桶</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0.0</w:t>
            </w:r>
            <w:r>
              <w:rPr>
                <w:rFonts w:cs="Times New Roman"/>
                <w:sz w:val="21"/>
                <w:szCs w:val="21"/>
              </w:rPr>
              <w:t>95</w:t>
            </w:r>
          </w:p>
        </w:tc>
        <w:tc>
          <w:tcPr>
            <w:tcW w:w="176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686" w:type="dxa"/>
            <w:vAlign w:val="center"/>
          </w:tcPr>
          <w:p>
            <w:pPr>
              <w:adjustRightInd w:val="0"/>
              <w:snapToGrid w:val="0"/>
              <w:spacing w:line="240" w:lineRule="auto"/>
              <w:ind w:firstLine="0" w:firstLineChars="0"/>
              <w:jc w:val="center"/>
              <w:rPr>
                <w:sz w:val="21"/>
                <w:szCs w:val="20"/>
              </w:rPr>
            </w:pPr>
            <w:r>
              <w:rPr>
                <w:rFonts w:hint="eastAsia" w:cs="Times New Roman"/>
                <w:sz w:val="21"/>
                <w:szCs w:val="21"/>
              </w:rPr>
              <w:t>0.0</w:t>
            </w:r>
            <w:r>
              <w:rPr>
                <w:rFonts w:cs="Times New Roman"/>
                <w:sz w:val="21"/>
                <w:szCs w:val="21"/>
              </w:rPr>
              <w:t>95</w:t>
            </w:r>
          </w:p>
        </w:tc>
        <w:tc>
          <w:tcPr>
            <w:tcW w:w="1265"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+0.0</w:t>
            </w:r>
            <w:r>
              <w:rPr>
                <w:rFonts w:cs="Times New Roman"/>
                <w:sz w:val="21"/>
                <w:szCs w:val="21"/>
              </w:rPr>
              <w:t>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vMerge w:val="continue"/>
            <w:vAlign w:val="center"/>
          </w:tcPr>
          <w:p>
            <w:pPr>
              <w:adjustRightInd w:val="0"/>
              <w:snapToGrid w:val="0"/>
              <w:spacing w:line="240" w:lineRule="auto"/>
              <w:ind w:firstLine="0" w:firstLineChars="0"/>
              <w:jc w:val="center"/>
              <w:rPr>
                <w:rFonts w:cs="Times New Roman"/>
                <w:snapToGrid w:val="0"/>
                <w:kern w:val="21"/>
                <w:sz w:val="21"/>
                <w:szCs w:val="21"/>
              </w:rPr>
            </w:pPr>
          </w:p>
        </w:tc>
        <w:tc>
          <w:tcPr>
            <w:tcW w:w="2191" w:type="dxa"/>
            <w:vAlign w:val="center"/>
          </w:tcPr>
          <w:p>
            <w:pPr>
              <w:pStyle w:val="42"/>
              <w:spacing w:line="240" w:lineRule="auto"/>
              <w:ind w:firstLine="0" w:firstLineChars="0"/>
              <w:jc w:val="center"/>
              <w:rPr>
                <w:color w:val="auto"/>
                <w:sz w:val="21"/>
                <w:szCs w:val="21"/>
              </w:rPr>
            </w:pPr>
            <w:r>
              <w:rPr>
                <w:rFonts w:hint="eastAsia"/>
                <w:color w:val="auto"/>
                <w:sz w:val="21"/>
                <w:szCs w:val="21"/>
              </w:rPr>
              <w:t>废手套、废棉纱</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0.01</w:t>
            </w:r>
          </w:p>
        </w:tc>
        <w:tc>
          <w:tcPr>
            <w:tcW w:w="176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686"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0.01</w:t>
            </w:r>
          </w:p>
        </w:tc>
        <w:tc>
          <w:tcPr>
            <w:tcW w:w="1265" w:type="dxa"/>
            <w:vAlign w:val="center"/>
          </w:tcPr>
          <w:p>
            <w:pPr>
              <w:adjustRightInd w:val="0"/>
              <w:snapToGrid w:val="0"/>
              <w:spacing w:line="240" w:lineRule="auto"/>
              <w:ind w:firstLine="0" w:firstLineChars="0"/>
              <w:jc w:val="center"/>
              <w:rPr>
                <w:rFonts w:cs="Times New Roman"/>
                <w:sz w:val="21"/>
                <w:szCs w:val="21"/>
              </w:rPr>
            </w:pPr>
            <w:r>
              <w:rPr>
                <w:rFonts w:hint="eastAsia" w:cs="Times New Roman"/>
                <w:sz w:val="21"/>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64" w:type="dxa"/>
            <w:vMerge w:val="continue"/>
            <w:vAlign w:val="center"/>
          </w:tcPr>
          <w:p>
            <w:pPr>
              <w:adjustRightInd w:val="0"/>
              <w:snapToGrid w:val="0"/>
              <w:spacing w:line="240" w:lineRule="auto"/>
              <w:ind w:firstLine="0" w:firstLineChars="0"/>
              <w:jc w:val="center"/>
              <w:rPr>
                <w:rFonts w:cs="Times New Roman"/>
                <w:snapToGrid w:val="0"/>
                <w:kern w:val="21"/>
                <w:sz w:val="21"/>
                <w:szCs w:val="21"/>
              </w:rPr>
            </w:pPr>
          </w:p>
        </w:tc>
        <w:tc>
          <w:tcPr>
            <w:tcW w:w="2191" w:type="dxa"/>
            <w:vAlign w:val="center"/>
          </w:tcPr>
          <w:p>
            <w:pPr>
              <w:pStyle w:val="42"/>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粘有矿物质油的</w:t>
            </w:r>
          </w:p>
          <w:p>
            <w:pPr>
              <w:pStyle w:val="42"/>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废布袋</w:t>
            </w:r>
          </w:p>
        </w:tc>
        <w:tc>
          <w:tcPr>
            <w:tcW w:w="1590"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037"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70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559" w:type="dxa"/>
            <w:vAlign w:val="center"/>
          </w:tcPr>
          <w:p>
            <w:pPr>
              <w:adjustRightInd w:val="0"/>
              <w:snapToGrid w:val="0"/>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1</w:t>
            </w:r>
          </w:p>
        </w:tc>
        <w:tc>
          <w:tcPr>
            <w:tcW w:w="1761" w:type="dxa"/>
            <w:vAlign w:val="center"/>
          </w:tcPr>
          <w:p>
            <w:pPr>
              <w:adjustRightInd w:val="0"/>
              <w:snapToGrid w:val="0"/>
              <w:spacing w:line="240" w:lineRule="auto"/>
              <w:ind w:firstLine="0" w:firstLineChars="0"/>
              <w:jc w:val="center"/>
              <w:rPr>
                <w:rFonts w:cs="Times New Roman"/>
                <w:snapToGrid w:val="0"/>
                <w:kern w:val="21"/>
                <w:sz w:val="21"/>
                <w:szCs w:val="21"/>
              </w:rPr>
            </w:pPr>
          </w:p>
        </w:tc>
        <w:tc>
          <w:tcPr>
            <w:tcW w:w="1686" w:type="dxa"/>
            <w:vAlign w:val="center"/>
          </w:tcPr>
          <w:p>
            <w:pPr>
              <w:adjustRightInd w:val="0"/>
              <w:snapToGrid w:val="0"/>
              <w:spacing w:line="240" w:lineRule="auto"/>
              <w:ind w:firstLine="0" w:firstLineChars="0"/>
              <w:jc w:val="center"/>
              <w:rPr>
                <w:rFonts w:hint="eastAsia" w:eastAsia="宋体" w:cs="Times New Roman"/>
                <w:sz w:val="21"/>
                <w:szCs w:val="21"/>
                <w:lang w:val="en-US" w:eastAsia="zh-CN"/>
              </w:rPr>
            </w:pPr>
            <w:r>
              <w:rPr>
                <w:rFonts w:hint="eastAsia" w:cs="Times New Roman"/>
                <w:sz w:val="21"/>
                <w:szCs w:val="21"/>
                <w:lang w:val="en-US" w:eastAsia="zh-CN"/>
              </w:rPr>
              <w:t>1</w:t>
            </w:r>
          </w:p>
        </w:tc>
        <w:tc>
          <w:tcPr>
            <w:tcW w:w="1265" w:type="dxa"/>
            <w:vAlign w:val="center"/>
          </w:tcPr>
          <w:p>
            <w:pPr>
              <w:adjustRightInd w:val="0"/>
              <w:snapToGrid w:val="0"/>
              <w:spacing w:line="240" w:lineRule="auto"/>
              <w:ind w:firstLine="0" w:firstLineChars="0"/>
              <w:jc w:val="center"/>
              <w:rPr>
                <w:rFonts w:hint="default" w:eastAsia="宋体" w:cs="Times New Roman"/>
                <w:sz w:val="21"/>
                <w:szCs w:val="21"/>
                <w:lang w:val="en-US" w:eastAsia="zh-CN"/>
              </w:rPr>
            </w:pPr>
            <w:r>
              <w:rPr>
                <w:rFonts w:hint="eastAsia" w:cs="Times New Roman"/>
                <w:sz w:val="21"/>
                <w:szCs w:val="21"/>
                <w:lang w:val="en-US" w:eastAsia="zh-CN"/>
              </w:rPr>
              <w:t>+1</w:t>
            </w:r>
          </w:p>
        </w:tc>
      </w:tr>
    </w:tbl>
    <w:p>
      <w:pPr>
        <w:tabs>
          <w:tab w:val="center" w:pos="6718"/>
        </w:tabs>
        <w:adjustRightInd w:val="0"/>
        <w:snapToGrid w:val="0"/>
        <w:spacing w:before="192" w:beforeLines="80" w:after="24" w:afterLines="10" w:line="259" w:lineRule="auto"/>
        <w:ind w:firstLine="480"/>
        <w:jc w:val="left"/>
        <w:outlineLvl w:val="0"/>
        <w:rPr>
          <w:rFonts w:cs="Times New Roman"/>
          <w:snapToGrid w:val="0"/>
          <w:spacing w:val="-6"/>
          <w:kern w:val="21"/>
          <w:szCs w:val="21"/>
        </w:rPr>
      </w:pPr>
      <w:r>
        <w:rPr>
          <w:rFonts w:cs="Times New Roman"/>
          <w:snapToGrid w:val="0"/>
          <w:kern w:val="21"/>
          <w:szCs w:val="21"/>
        </w:rPr>
        <w:t>注：</w:t>
      </w:r>
      <w:r>
        <w:rPr>
          <w:rFonts w:cs="Times New Roman"/>
          <w:snapToGrid w:val="0"/>
          <w:spacing w:val="-16"/>
          <w:kern w:val="21"/>
          <w:szCs w:val="21"/>
        </w:rPr>
        <w:fldChar w:fldCharType="begin"/>
      </w:r>
      <w:r>
        <w:rPr>
          <w:rFonts w:cs="Times New Roman"/>
          <w:snapToGrid w:val="0"/>
          <w:spacing w:val="-16"/>
          <w:kern w:val="21"/>
          <w:szCs w:val="21"/>
        </w:rPr>
        <w:instrText xml:space="preserve"> = 6 \* GB3 \* MERGEFORMAT </w:instrText>
      </w:r>
      <w:r>
        <w:rPr>
          <w:rFonts w:cs="Times New Roman"/>
          <w:snapToGrid w:val="0"/>
          <w:spacing w:val="-16"/>
          <w:kern w:val="21"/>
          <w:szCs w:val="21"/>
        </w:rPr>
        <w:fldChar w:fldCharType="separate"/>
      </w:r>
      <w:r>
        <w:rPr>
          <w:rFonts w:cs="Times New Roman"/>
          <w:kern w:val="0"/>
          <w:szCs w:val="21"/>
        </w:rPr>
        <w:t>⑥</w:t>
      </w:r>
      <w:r>
        <w:rPr>
          <w:rFonts w:cs="Times New Roman"/>
          <w:snapToGrid w:val="0"/>
          <w:spacing w:val="-16"/>
          <w:kern w:val="21"/>
          <w:szCs w:val="21"/>
        </w:rPr>
        <w:fldChar w:fldCharType="end"/>
      </w:r>
      <w:r>
        <w:rPr>
          <w:rFonts w:cs="Times New Roman"/>
          <w:snapToGrid w:val="0"/>
          <w:spacing w:val="-16"/>
          <w:kern w:val="21"/>
          <w:szCs w:val="21"/>
        </w:rPr>
        <w:t>=</w:t>
      </w:r>
      <w:r>
        <w:rPr>
          <w:rFonts w:cs="Times New Roman"/>
          <w:snapToGrid w:val="0"/>
          <w:spacing w:val="-6"/>
          <w:kern w:val="21"/>
          <w:szCs w:val="21"/>
        </w:rPr>
        <w:fldChar w:fldCharType="begin"/>
      </w:r>
      <w:r>
        <w:rPr>
          <w:rFonts w:cs="Times New Roman"/>
          <w:snapToGrid w:val="0"/>
          <w:spacing w:val="-6"/>
          <w:kern w:val="21"/>
          <w:szCs w:val="21"/>
        </w:rPr>
        <w:instrText xml:space="preserve"> = 1 \* GB3 \* MERGEFORMAT </w:instrText>
      </w:r>
      <w:r>
        <w:rPr>
          <w:rFonts w:cs="Times New Roman"/>
          <w:snapToGrid w:val="0"/>
          <w:spacing w:val="-6"/>
          <w:kern w:val="21"/>
          <w:szCs w:val="21"/>
        </w:rPr>
        <w:fldChar w:fldCharType="separate"/>
      </w:r>
      <w:r>
        <w:rPr>
          <w:rFonts w:cs="Times New Roman"/>
          <w:kern w:val="0"/>
          <w:szCs w:val="21"/>
        </w:rPr>
        <w:t>①</w:t>
      </w:r>
      <w:r>
        <w:rPr>
          <w:rFonts w:cs="Times New Roman"/>
          <w:snapToGrid w:val="0"/>
          <w:spacing w:val="-6"/>
          <w:kern w:val="21"/>
          <w:szCs w:val="21"/>
        </w:rPr>
        <w:fldChar w:fldCharType="end"/>
      </w:r>
      <w:r>
        <w:rPr>
          <w:rFonts w:cs="Times New Roman"/>
          <w:snapToGrid w:val="0"/>
          <w:spacing w:val="-6"/>
          <w:kern w:val="21"/>
          <w:szCs w:val="21"/>
        </w:rPr>
        <w:t>+</w:t>
      </w:r>
      <w:r>
        <w:rPr>
          <w:rFonts w:cs="Times New Roman"/>
          <w:snapToGrid w:val="0"/>
          <w:spacing w:val="-6"/>
          <w:kern w:val="21"/>
          <w:szCs w:val="21"/>
        </w:rPr>
        <w:fldChar w:fldCharType="begin"/>
      </w:r>
      <w:r>
        <w:rPr>
          <w:rFonts w:cs="Times New Roman"/>
          <w:snapToGrid w:val="0"/>
          <w:spacing w:val="-6"/>
          <w:kern w:val="21"/>
          <w:szCs w:val="21"/>
        </w:rPr>
        <w:instrText xml:space="preserve"> = 3 \* GB3 \* MERGEFORMAT </w:instrText>
      </w:r>
      <w:r>
        <w:rPr>
          <w:rFonts w:cs="Times New Roman"/>
          <w:snapToGrid w:val="0"/>
          <w:spacing w:val="-6"/>
          <w:kern w:val="21"/>
          <w:szCs w:val="21"/>
        </w:rPr>
        <w:fldChar w:fldCharType="separate"/>
      </w:r>
      <w:r>
        <w:rPr>
          <w:rFonts w:cs="Times New Roman"/>
          <w:kern w:val="0"/>
          <w:szCs w:val="21"/>
        </w:rPr>
        <w:t>③</w:t>
      </w:r>
      <w:r>
        <w:rPr>
          <w:rFonts w:cs="Times New Roman"/>
          <w:snapToGrid w:val="0"/>
          <w:spacing w:val="-6"/>
          <w:kern w:val="21"/>
          <w:szCs w:val="21"/>
        </w:rPr>
        <w:fldChar w:fldCharType="end"/>
      </w:r>
      <w:r>
        <w:rPr>
          <w:rFonts w:cs="Times New Roman"/>
          <w:snapToGrid w:val="0"/>
          <w:spacing w:val="-6"/>
          <w:kern w:val="21"/>
          <w:szCs w:val="21"/>
        </w:rPr>
        <w:t>+</w:t>
      </w:r>
      <w:r>
        <w:rPr>
          <w:rFonts w:cs="Times New Roman"/>
          <w:snapToGrid w:val="0"/>
          <w:spacing w:val="-6"/>
          <w:kern w:val="21"/>
          <w:szCs w:val="21"/>
        </w:rPr>
        <w:fldChar w:fldCharType="begin"/>
      </w:r>
      <w:r>
        <w:rPr>
          <w:rFonts w:cs="Times New Roman"/>
          <w:snapToGrid w:val="0"/>
          <w:spacing w:val="-6"/>
          <w:kern w:val="21"/>
          <w:szCs w:val="21"/>
        </w:rPr>
        <w:instrText xml:space="preserve"> = 4 \* GB3 \* MERGEFORMAT </w:instrText>
      </w:r>
      <w:r>
        <w:rPr>
          <w:rFonts w:cs="Times New Roman"/>
          <w:snapToGrid w:val="0"/>
          <w:spacing w:val="-6"/>
          <w:kern w:val="21"/>
          <w:szCs w:val="21"/>
        </w:rPr>
        <w:fldChar w:fldCharType="separate"/>
      </w:r>
      <w:r>
        <w:rPr>
          <w:rFonts w:cs="Times New Roman"/>
          <w:kern w:val="0"/>
          <w:szCs w:val="21"/>
        </w:rPr>
        <w:t>④</w:t>
      </w:r>
      <w:r>
        <w:rPr>
          <w:rFonts w:cs="Times New Roman"/>
          <w:snapToGrid w:val="0"/>
          <w:spacing w:val="-6"/>
          <w:kern w:val="21"/>
          <w:szCs w:val="21"/>
        </w:rPr>
        <w:fldChar w:fldCharType="end"/>
      </w:r>
      <w:r>
        <w:rPr>
          <w:rFonts w:cs="Times New Roman"/>
          <w:snapToGrid w:val="0"/>
          <w:spacing w:val="-6"/>
          <w:kern w:val="21"/>
          <w:szCs w:val="21"/>
        </w:rPr>
        <w:t>-</w:t>
      </w:r>
      <w:r>
        <w:rPr>
          <w:rFonts w:cs="Times New Roman"/>
          <w:snapToGrid w:val="0"/>
          <w:spacing w:val="-16"/>
          <w:kern w:val="21"/>
          <w:szCs w:val="21"/>
        </w:rPr>
        <w:fldChar w:fldCharType="begin"/>
      </w:r>
      <w:r>
        <w:rPr>
          <w:rFonts w:cs="Times New Roman"/>
          <w:snapToGrid w:val="0"/>
          <w:spacing w:val="-16"/>
          <w:kern w:val="21"/>
          <w:szCs w:val="21"/>
        </w:rPr>
        <w:instrText xml:space="preserve"> = 5 \* GB3 \* MERGEFORMAT </w:instrText>
      </w:r>
      <w:r>
        <w:rPr>
          <w:rFonts w:cs="Times New Roman"/>
          <w:snapToGrid w:val="0"/>
          <w:spacing w:val="-16"/>
          <w:kern w:val="21"/>
          <w:szCs w:val="21"/>
        </w:rPr>
        <w:fldChar w:fldCharType="separate"/>
      </w:r>
      <w:r>
        <w:rPr>
          <w:rFonts w:cs="Times New Roman"/>
          <w:kern w:val="0"/>
          <w:szCs w:val="21"/>
        </w:rPr>
        <w:t>⑤</w:t>
      </w:r>
      <w:r>
        <w:rPr>
          <w:rFonts w:cs="Times New Roman"/>
          <w:snapToGrid w:val="0"/>
          <w:spacing w:val="-16"/>
          <w:kern w:val="21"/>
          <w:szCs w:val="21"/>
        </w:rPr>
        <w:fldChar w:fldCharType="end"/>
      </w:r>
      <w:r>
        <w:rPr>
          <w:rFonts w:cs="Times New Roman"/>
          <w:snapToGrid w:val="0"/>
          <w:spacing w:val="-16"/>
          <w:kern w:val="21"/>
          <w:szCs w:val="21"/>
        </w:rPr>
        <w:t>；</w:t>
      </w:r>
      <w:r>
        <w:rPr>
          <w:rFonts w:cs="Times New Roman"/>
          <w:snapToGrid w:val="0"/>
          <w:spacing w:val="-6"/>
          <w:kern w:val="21"/>
          <w:szCs w:val="21"/>
        </w:rPr>
        <w:fldChar w:fldCharType="begin"/>
      </w:r>
      <w:r>
        <w:rPr>
          <w:rFonts w:cs="Times New Roman"/>
          <w:snapToGrid w:val="0"/>
          <w:spacing w:val="-6"/>
          <w:kern w:val="21"/>
          <w:szCs w:val="21"/>
        </w:rPr>
        <w:instrText xml:space="preserve"> = 7 \* GB3 \* MERGEFORMAT </w:instrText>
      </w:r>
      <w:r>
        <w:rPr>
          <w:rFonts w:cs="Times New Roman"/>
          <w:snapToGrid w:val="0"/>
          <w:spacing w:val="-6"/>
          <w:kern w:val="21"/>
          <w:szCs w:val="21"/>
        </w:rPr>
        <w:fldChar w:fldCharType="separate"/>
      </w:r>
      <w:r>
        <w:rPr>
          <w:rFonts w:cs="Times New Roman"/>
          <w:kern w:val="0"/>
          <w:szCs w:val="21"/>
        </w:rPr>
        <w:t>⑦</w:t>
      </w:r>
      <w:r>
        <w:rPr>
          <w:rFonts w:cs="Times New Roman"/>
          <w:snapToGrid w:val="0"/>
          <w:spacing w:val="-6"/>
          <w:kern w:val="21"/>
          <w:szCs w:val="21"/>
        </w:rPr>
        <w:fldChar w:fldCharType="end"/>
      </w:r>
      <w:r>
        <w:rPr>
          <w:rFonts w:cs="Times New Roman"/>
          <w:snapToGrid w:val="0"/>
          <w:spacing w:val="-6"/>
          <w:kern w:val="21"/>
          <w:szCs w:val="21"/>
        </w:rPr>
        <w:t>=</w:t>
      </w:r>
      <w:r>
        <w:rPr>
          <w:rFonts w:cs="Times New Roman"/>
          <w:snapToGrid w:val="0"/>
          <w:spacing w:val="-16"/>
          <w:kern w:val="21"/>
          <w:szCs w:val="21"/>
        </w:rPr>
        <w:fldChar w:fldCharType="begin"/>
      </w:r>
      <w:r>
        <w:rPr>
          <w:rFonts w:cs="Times New Roman"/>
          <w:snapToGrid w:val="0"/>
          <w:spacing w:val="-16"/>
          <w:kern w:val="21"/>
          <w:szCs w:val="21"/>
        </w:rPr>
        <w:instrText xml:space="preserve"> = 6 \* GB3 \* MERGEFORMAT </w:instrText>
      </w:r>
      <w:r>
        <w:rPr>
          <w:rFonts w:cs="Times New Roman"/>
          <w:snapToGrid w:val="0"/>
          <w:spacing w:val="-16"/>
          <w:kern w:val="21"/>
          <w:szCs w:val="21"/>
        </w:rPr>
        <w:fldChar w:fldCharType="separate"/>
      </w:r>
      <w:r>
        <w:rPr>
          <w:rFonts w:cs="Times New Roman"/>
          <w:kern w:val="0"/>
          <w:szCs w:val="21"/>
        </w:rPr>
        <w:t>⑥</w:t>
      </w:r>
      <w:r>
        <w:rPr>
          <w:rFonts w:cs="Times New Roman"/>
          <w:snapToGrid w:val="0"/>
          <w:spacing w:val="-16"/>
          <w:kern w:val="21"/>
          <w:szCs w:val="21"/>
        </w:rPr>
        <w:fldChar w:fldCharType="end"/>
      </w:r>
      <w:r>
        <w:rPr>
          <w:rFonts w:cs="Times New Roman"/>
          <w:snapToGrid w:val="0"/>
          <w:spacing w:val="-16"/>
          <w:kern w:val="21"/>
          <w:szCs w:val="21"/>
        </w:rPr>
        <w:t>-</w:t>
      </w:r>
      <w:r>
        <w:rPr>
          <w:rFonts w:cs="Times New Roman"/>
          <w:snapToGrid w:val="0"/>
          <w:spacing w:val="-6"/>
          <w:kern w:val="21"/>
          <w:szCs w:val="21"/>
        </w:rPr>
        <w:fldChar w:fldCharType="begin"/>
      </w:r>
      <w:r>
        <w:rPr>
          <w:rFonts w:cs="Times New Roman"/>
          <w:snapToGrid w:val="0"/>
          <w:spacing w:val="-6"/>
          <w:kern w:val="21"/>
          <w:szCs w:val="21"/>
        </w:rPr>
        <w:instrText xml:space="preserve"> = 1 \* GB3 \* MERGEFORMAT </w:instrText>
      </w:r>
      <w:r>
        <w:rPr>
          <w:rFonts w:cs="Times New Roman"/>
          <w:snapToGrid w:val="0"/>
          <w:spacing w:val="-6"/>
          <w:kern w:val="21"/>
          <w:szCs w:val="21"/>
        </w:rPr>
        <w:fldChar w:fldCharType="separate"/>
      </w:r>
      <w:r>
        <w:rPr>
          <w:rFonts w:cs="Times New Roman"/>
          <w:kern w:val="0"/>
          <w:szCs w:val="21"/>
        </w:rPr>
        <w:t>①</w:t>
      </w:r>
      <w:r>
        <w:rPr>
          <w:rFonts w:cs="Times New Roman"/>
          <w:snapToGrid w:val="0"/>
          <w:spacing w:val="-6"/>
          <w:kern w:val="21"/>
          <w:szCs w:val="21"/>
        </w:rPr>
        <w:fldChar w:fldCharType="end"/>
      </w:r>
      <w:bookmarkEnd w:id="17"/>
      <w:r>
        <w:rPr>
          <w:rFonts w:hint="eastAsia" w:cs="Times New Roman"/>
          <w:snapToGrid w:val="0"/>
          <w:spacing w:val="-6"/>
          <w:kern w:val="21"/>
          <w:szCs w:val="21"/>
        </w:rPr>
        <w:tab/>
      </w:r>
    </w:p>
    <w:p>
      <w:pPr>
        <w:pStyle w:val="33"/>
        <w:ind w:left="0" w:leftChars="0" w:firstLine="456"/>
        <w:rPr>
          <w:rFonts w:hint="eastAsia"/>
          <w:snapToGrid w:val="0"/>
          <w:spacing w:val="-6"/>
          <w:kern w:val="21"/>
          <w:szCs w:val="21"/>
        </w:rPr>
        <w:sectPr>
          <w:footerReference r:id="rId13" w:type="default"/>
          <w:pgSz w:w="16838" w:h="11906" w:orient="landscape"/>
          <w:pgMar w:top="1531" w:right="1701" w:bottom="1531" w:left="1701" w:header="851" w:footer="851" w:gutter="0"/>
          <w:cols w:space="720" w:num="1"/>
          <w:docGrid w:linePitch="312" w:charSpace="0"/>
        </w:sectPr>
      </w:pPr>
      <w:r>
        <w:rPr>
          <w:rFonts w:hint="eastAsia"/>
          <w:snapToGrid w:val="0"/>
          <w:spacing w:val="-6"/>
          <w:kern w:val="21"/>
          <w:szCs w:val="21"/>
        </w:rPr>
        <w:t>单位：吨/年</w:t>
      </w:r>
    </w:p>
    <w:p>
      <w:pPr>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70528" behindDoc="0" locked="0" layoutInCell="1" allowOverlap="1">
            <wp:simplePos x="0" y="0"/>
            <wp:positionH relativeFrom="column">
              <wp:posOffset>-695325</wp:posOffset>
            </wp:positionH>
            <wp:positionV relativeFrom="paragraph">
              <wp:posOffset>-661670</wp:posOffset>
            </wp:positionV>
            <wp:extent cx="9852660" cy="6969125"/>
            <wp:effectExtent l="0" t="0" r="15240" b="3175"/>
            <wp:wrapNone/>
            <wp:docPr id="12" name="图片 12" descr="2附图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附图_页面_01"/>
                    <pic:cNvPicPr>
                      <a:picLocks noChangeAspect="1"/>
                    </pic:cNvPicPr>
                  </pic:nvPicPr>
                  <pic:blipFill>
                    <a:blip r:embed="rId37"/>
                    <a:stretch>
                      <a:fillRect/>
                    </a:stretch>
                  </pic:blipFill>
                  <pic:spPr>
                    <a:xfrm>
                      <a:off x="0" y="0"/>
                      <a:ext cx="9852660" cy="6969125"/>
                    </a:xfrm>
                    <a:prstGeom prst="rect">
                      <a:avLst/>
                    </a:prstGeom>
                  </pic:spPr>
                </pic:pic>
              </a:graphicData>
            </a:graphic>
          </wp:anchor>
        </w:drawing>
      </w:r>
    </w:p>
    <w:p>
      <w:pPr>
        <w:pStyle w:val="2"/>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71552" behindDoc="0" locked="0" layoutInCell="1" allowOverlap="1">
            <wp:simplePos x="0" y="0"/>
            <wp:positionH relativeFrom="column">
              <wp:posOffset>-671195</wp:posOffset>
            </wp:positionH>
            <wp:positionV relativeFrom="paragraph">
              <wp:posOffset>-499110</wp:posOffset>
            </wp:positionV>
            <wp:extent cx="9970135" cy="7051040"/>
            <wp:effectExtent l="0" t="0" r="12065" b="16510"/>
            <wp:wrapNone/>
            <wp:docPr id="13" name="图片 13" descr="2附图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附图_页面_02"/>
                    <pic:cNvPicPr>
                      <a:picLocks noChangeAspect="1"/>
                    </pic:cNvPicPr>
                  </pic:nvPicPr>
                  <pic:blipFill>
                    <a:blip r:embed="rId38"/>
                    <a:stretch>
                      <a:fillRect/>
                    </a:stretch>
                  </pic:blipFill>
                  <pic:spPr>
                    <a:xfrm>
                      <a:off x="0" y="0"/>
                      <a:ext cx="9970135" cy="7051040"/>
                    </a:xfrm>
                    <a:prstGeom prst="rect">
                      <a:avLst/>
                    </a:prstGeom>
                  </pic:spPr>
                </pic:pic>
              </a:graphicData>
            </a:graphic>
          </wp:anchor>
        </w:drawing>
      </w:r>
    </w:p>
    <w:p>
      <w:pPr>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anchor distT="0" distB="0" distL="114300" distR="114300" simplePos="0" relativeHeight="251672576" behindDoc="0" locked="0" layoutInCell="1" allowOverlap="1">
            <wp:simplePos x="0" y="0"/>
            <wp:positionH relativeFrom="column">
              <wp:posOffset>-861695</wp:posOffset>
            </wp:positionH>
            <wp:positionV relativeFrom="paragraph">
              <wp:posOffset>-865505</wp:posOffset>
            </wp:positionV>
            <wp:extent cx="7187565" cy="10163810"/>
            <wp:effectExtent l="0" t="0" r="13335" b="8890"/>
            <wp:wrapNone/>
            <wp:docPr id="14" name="图片 14" descr="2附图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附图_页面_03"/>
                    <pic:cNvPicPr>
                      <a:picLocks noChangeAspect="1"/>
                    </pic:cNvPicPr>
                  </pic:nvPicPr>
                  <pic:blipFill>
                    <a:blip r:embed="rId39"/>
                    <a:stretch>
                      <a:fillRect/>
                    </a:stretch>
                  </pic:blipFill>
                  <pic:spPr>
                    <a:xfrm>
                      <a:off x="0" y="0"/>
                      <a:ext cx="7187565" cy="10163810"/>
                    </a:xfrm>
                    <a:prstGeom prst="rect">
                      <a:avLst/>
                    </a:prstGeom>
                  </pic:spPr>
                </pic:pic>
              </a:graphicData>
            </a:graphic>
          </wp:anchor>
        </w:drawing>
      </w:r>
    </w:p>
    <w:p>
      <w:pPr>
        <w:pStyle w:val="2"/>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anchor distT="0" distB="0" distL="114300" distR="114300" simplePos="0" relativeHeight="251673600" behindDoc="1" locked="0" layoutInCell="1" allowOverlap="1">
            <wp:simplePos x="0" y="0"/>
            <wp:positionH relativeFrom="column">
              <wp:posOffset>-623570</wp:posOffset>
            </wp:positionH>
            <wp:positionV relativeFrom="paragraph">
              <wp:posOffset>-794385</wp:posOffset>
            </wp:positionV>
            <wp:extent cx="7181215" cy="10155555"/>
            <wp:effectExtent l="0" t="0" r="635" b="17145"/>
            <wp:wrapNone/>
            <wp:docPr id="15" name="图片 15" descr="2附图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附图_页面_04"/>
                    <pic:cNvPicPr>
                      <a:picLocks noChangeAspect="1"/>
                    </pic:cNvPicPr>
                  </pic:nvPicPr>
                  <pic:blipFill>
                    <a:blip r:embed="rId40"/>
                    <a:stretch>
                      <a:fillRect/>
                    </a:stretch>
                  </pic:blipFill>
                  <pic:spPr>
                    <a:xfrm>
                      <a:off x="0" y="0"/>
                      <a:ext cx="7181215" cy="10155555"/>
                    </a:xfrm>
                    <a:prstGeom prst="rect">
                      <a:avLst/>
                    </a:prstGeom>
                  </pic:spPr>
                </pic:pic>
              </a:graphicData>
            </a:graphic>
          </wp:anchor>
        </w:drawing>
      </w:r>
    </w:p>
    <w:p>
      <w:pPr>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anchor distT="0" distB="0" distL="114300" distR="114300" simplePos="0" relativeHeight="251673600" behindDoc="0" locked="0" layoutInCell="1" allowOverlap="1">
            <wp:simplePos x="0" y="0"/>
            <wp:positionH relativeFrom="column">
              <wp:posOffset>-647700</wp:posOffset>
            </wp:positionH>
            <wp:positionV relativeFrom="paragraph">
              <wp:posOffset>-794385</wp:posOffset>
            </wp:positionV>
            <wp:extent cx="7216775" cy="10195560"/>
            <wp:effectExtent l="0" t="0" r="3175" b="15240"/>
            <wp:wrapNone/>
            <wp:docPr id="16" name="图片 16" descr="2附图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附图_页面_05"/>
                    <pic:cNvPicPr>
                      <a:picLocks noChangeAspect="1"/>
                    </pic:cNvPicPr>
                  </pic:nvPicPr>
                  <pic:blipFill>
                    <a:blip r:embed="rId41"/>
                    <a:stretch>
                      <a:fillRect/>
                    </a:stretch>
                  </pic:blipFill>
                  <pic:spPr>
                    <a:xfrm>
                      <a:off x="0" y="0"/>
                      <a:ext cx="7216775" cy="10195560"/>
                    </a:xfrm>
                    <a:prstGeom prst="rect">
                      <a:avLst/>
                    </a:prstGeom>
                  </pic:spPr>
                </pic:pic>
              </a:graphicData>
            </a:graphic>
          </wp:anchor>
        </w:drawing>
      </w:r>
    </w:p>
    <w:p>
      <w:pPr>
        <w:pStyle w:val="2"/>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74624" behindDoc="0" locked="0" layoutInCell="1" allowOverlap="1">
            <wp:simplePos x="0" y="0"/>
            <wp:positionH relativeFrom="column">
              <wp:posOffset>-528955</wp:posOffset>
            </wp:positionH>
            <wp:positionV relativeFrom="paragraph">
              <wp:posOffset>-732155</wp:posOffset>
            </wp:positionV>
            <wp:extent cx="9822815" cy="6943090"/>
            <wp:effectExtent l="0" t="0" r="6985" b="10160"/>
            <wp:wrapNone/>
            <wp:docPr id="17" name="图片 17" descr="2附图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附图_页面_06"/>
                    <pic:cNvPicPr>
                      <a:picLocks noChangeAspect="1"/>
                    </pic:cNvPicPr>
                  </pic:nvPicPr>
                  <pic:blipFill>
                    <a:blip r:embed="rId42"/>
                    <a:stretch>
                      <a:fillRect/>
                    </a:stretch>
                  </pic:blipFill>
                  <pic:spPr>
                    <a:xfrm>
                      <a:off x="0" y="0"/>
                      <a:ext cx="9822815" cy="6943090"/>
                    </a:xfrm>
                    <a:prstGeom prst="rect">
                      <a:avLst/>
                    </a:prstGeom>
                  </pic:spPr>
                </pic:pic>
              </a:graphicData>
            </a:graphic>
          </wp:anchor>
        </w:drawing>
      </w:r>
    </w:p>
    <w:p>
      <w:pPr>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75648" behindDoc="0" locked="0" layoutInCell="1" allowOverlap="1">
            <wp:simplePos x="0" y="0"/>
            <wp:positionH relativeFrom="column">
              <wp:posOffset>-671195</wp:posOffset>
            </wp:positionH>
            <wp:positionV relativeFrom="paragraph">
              <wp:posOffset>-827405</wp:posOffset>
            </wp:positionV>
            <wp:extent cx="10156190" cy="7182485"/>
            <wp:effectExtent l="0" t="0" r="16510" b="18415"/>
            <wp:wrapNone/>
            <wp:docPr id="18" name="图片 18" descr="2附图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附图_页面_07"/>
                    <pic:cNvPicPr>
                      <a:picLocks noChangeAspect="1"/>
                    </pic:cNvPicPr>
                  </pic:nvPicPr>
                  <pic:blipFill>
                    <a:blip r:embed="rId43"/>
                    <a:stretch>
                      <a:fillRect/>
                    </a:stretch>
                  </pic:blipFill>
                  <pic:spPr>
                    <a:xfrm>
                      <a:off x="0" y="0"/>
                      <a:ext cx="10156190" cy="7182485"/>
                    </a:xfrm>
                    <a:prstGeom prst="rect">
                      <a:avLst/>
                    </a:prstGeom>
                  </pic:spPr>
                </pic:pic>
              </a:graphicData>
            </a:graphic>
          </wp:anchor>
        </w:drawing>
      </w:r>
    </w:p>
    <w:p>
      <w:pPr>
        <w:pStyle w:val="2"/>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anchor distT="0" distB="0" distL="114300" distR="114300" simplePos="0" relativeHeight="251676672" behindDoc="0" locked="0" layoutInCell="1" allowOverlap="1">
            <wp:simplePos x="0" y="0"/>
            <wp:positionH relativeFrom="column">
              <wp:posOffset>-790575</wp:posOffset>
            </wp:positionH>
            <wp:positionV relativeFrom="paragraph">
              <wp:posOffset>-866140</wp:posOffset>
            </wp:positionV>
            <wp:extent cx="7301865" cy="10328275"/>
            <wp:effectExtent l="0" t="0" r="13335" b="15875"/>
            <wp:wrapNone/>
            <wp:docPr id="19" name="图片 19" descr="2附图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附图_页面_08"/>
                    <pic:cNvPicPr>
                      <a:picLocks noChangeAspect="1"/>
                    </pic:cNvPicPr>
                  </pic:nvPicPr>
                  <pic:blipFill>
                    <a:blip r:embed="rId44"/>
                    <a:stretch>
                      <a:fillRect/>
                    </a:stretch>
                  </pic:blipFill>
                  <pic:spPr>
                    <a:xfrm>
                      <a:off x="0" y="0"/>
                      <a:ext cx="7301865" cy="10328275"/>
                    </a:xfrm>
                    <a:prstGeom prst="rect">
                      <a:avLst/>
                    </a:prstGeom>
                  </pic:spPr>
                </pic:pic>
              </a:graphicData>
            </a:graphic>
          </wp:anchor>
        </w:drawing>
      </w:r>
    </w:p>
    <w:p>
      <w:pPr>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77696" behindDoc="0" locked="0" layoutInCell="1" allowOverlap="1">
            <wp:simplePos x="0" y="0"/>
            <wp:positionH relativeFrom="column">
              <wp:posOffset>-885825</wp:posOffset>
            </wp:positionH>
            <wp:positionV relativeFrom="paragraph">
              <wp:posOffset>-875665</wp:posOffset>
            </wp:positionV>
            <wp:extent cx="10295255" cy="7282180"/>
            <wp:effectExtent l="0" t="0" r="10795" b="13970"/>
            <wp:wrapNone/>
            <wp:docPr id="20" name="图片 20" descr="2附图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附图_页面_09"/>
                    <pic:cNvPicPr>
                      <a:picLocks noChangeAspect="1"/>
                    </pic:cNvPicPr>
                  </pic:nvPicPr>
                  <pic:blipFill>
                    <a:blip r:embed="rId45"/>
                    <a:stretch>
                      <a:fillRect/>
                    </a:stretch>
                  </pic:blipFill>
                  <pic:spPr>
                    <a:xfrm>
                      <a:off x="0" y="0"/>
                      <a:ext cx="10295255" cy="7282180"/>
                    </a:xfrm>
                    <a:prstGeom prst="rect">
                      <a:avLst/>
                    </a:prstGeom>
                  </pic:spPr>
                </pic:pic>
              </a:graphicData>
            </a:graphic>
          </wp:anchor>
        </w:drawing>
      </w:r>
    </w:p>
    <w:p>
      <w:pPr>
        <w:pStyle w:val="2"/>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anchor distT="0" distB="0" distL="114300" distR="114300" simplePos="0" relativeHeight="251678720" behindDoc="0" locked="0" layoutInCell="1" allowOverlap="1">
            <wp:simplePos x="0" y="0"/>
            <wp:positionH relativeFrom="column">
              <wp:posOffset>-671830</wp:posOffset>
            </wp:positionH>
            <wp:positionV relativeFrom="paragraph">
              <wp:posOffset>-922655</wp:posOffset>
            </wp:positionV>
            <wp:extent cx="7353935" cy="10400030"/>
            <wp:effectExtent l="0" t="0" r="18415" b="1270"/>
            <wp:wrapNone/>
            <wp:docPr id="22" name="图片 22" descr="2附图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附图_页面_10"/>
                    <pic:cNvPicPr>
                      <a:picLocks noChangeAspect="1"/>
                    </pic:cNvPicPr>
                  </pic:nvPicPr>
                  <pic:blipFill>
                    <a:blip r:embed="rId46"/>
                    <a:stretch>
                      <a:fillRect/>
                    </a:stretch>
                  </pic:blipFill>
                  <pic:spPr>
                    <a:xfrm>
                      <a:off x="0" y="0"/>
                      <a:ext cx="7353935" cy="10400030"/>
                    </a:xfrm>
                    <a:prstGeom prst="rect">
                      <a:avLst/>
                    </a:prstGeom>
                  </pic:spPr>
                </pic:pic>
              </a:graphicData>
            </a:graphic>
          </wp:anchor>
        </w:drawing>
      </w:r>
    </w:p>
    <w:p>
      <w:pPr>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79744" behindDoc="0" locked="0" layoutInCell="1" allowOverlap="1">
            <wp:simplePos x="0" y="0"/>
            <wp:positionH relativeFrom="column">
              <wp:posOffset>-671830</wp:posOffset>
            </wp:positionH>
            <wp:positionV relativeFrom="paragraph">
              <wp:posOffset>-851535</wp:posOffset>
            </wp:positionV>
            <wp:extent cx="10314940" cy="7292975"/>
            <wp:effectExtent l="0" t="0" r="10160" b="3175"/>
            <wp:wrapNone/>
            <wp:docPr id="23" name="图片 23" descr="2附图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附图_页面_11"/>
                    <pic:cNvPicPr>
                      <a:picLocks noChangeAspect="1"/>
                    </pic:cNvPicPr>
                  </pic:nvPicPr>
                  <pic:blipFill>
                    <a:blip r:embed="rId47"/>
                    <a:stretch>
                      <a:fillRect/>
                    </a:stretch>
                  </pic:blipFill>
                  <pic:spPr>
                    <a:xfrm>
                      <a:off x="0" y="0"/>
                      <a:ext cx="10314940" cy="7292975"/>
                    </a:xfrm>
                    <a:prstGeom prst="rect">
                      <a:avLst/>
                    </a:prstGeom>
                  </pic:spPr>
                </pic:pic>
              </a:graphicData>
            </a:graphic>
          </wp:anchor>
        </w:drawing>
      </w:r>
    </w:p>
    <w:p>
      <w:pPr>
        <w:pStyle w:val="2"/>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80768" behindDoc="0" locked="0" layoutInCell="1" allowOverlap="1">
            <wp:simplePos x="0" y="0"/>
            <wp:positionH relativeFrom="column">
              <wp:posOffset>-1004570</wp:posOffset>
            </wp:positionH>
            <wp:positionV relativeFrom="paragraph">
              <wp:posOffset>-923290</wp:posOffset>
            </wp:positionV>
            <wp:extent cx="10791825" cy="7637145"/>
            <wp:effectExtent l="0" t="0" r="9525" b="1905"/>
            <wp:wrapNone/>
            <wp:docPr id="24" name="图片 24" descr="2附图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附图_页面_12"/>
                    <pic:cNvPicPr>
                      <a:picLocks noChangeAspect="1"/>
                    </pic:cNvPicPr>
                  </pic:nvPicPr>
                  <pic:blipFill>
                    <a:blip r:embed="rId48"/>
                    <a:stretch>
                      <a:fillRect/>
                    </a:stretch>
                  </pic:blipFill>
                  <pic:spPr>
                    <a:xfrm>
                      <a:off x="0" y="0"/>
                      <a:ext cx="10791825" cy="7637145"/>
                    </a:xfrm>
                    <a:prstGeom prst="rect">
                      <a:avLst/>
                    </a:prstGeom>
                  </pic:spPr>
                </pic:pic>
              </a:graphicData>
            </a:graphic>
          </wp:anchor>
        </w:drawing>
      </w:r>
    </w:p>
    <w:p>
      <w:pPr>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81792" behindDoc="0" locked="0" layoutInCell="1" allowOverlap="1">
            <wp:simplePos x="0" y="0"/>
            <wp:positionH relativeFrom="column">
              <wp:posOffset>-767080</wp:posOffset>
            </wp:positionH>
            <wp:positionV relativeFrom="paragraph">
              <wp:posOffset>-946785</wp:posOffset>
            </wp:positionV>
            <wp:extent cx="10460355" cy="7395845"/>
            <wp:effectExtent l="0" t="0" r="17145" b="14605"/>
            <wp:wrapNone/>
            <wp:docPr id="25" name="图片 25" descr="2附图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附图_页面_13"/>
                    <pic:cNvPicPr>
                      <a:picLocks noChangeAspect="1"/>
                    </pic:cNvPicPr>
                  </pic:nvPicPr>
                  <pic:blipFill>
                    <a:blip r:embed="rId49"/>
                    <a:stretch>
                      <a:fillRect/>
                    </a:stretch>
                  </pic:blipFill>
                  <pic:spPr>
                    <a:xfrm>
                      <a:off x="0" y="0"/>
                      <a:ext cx="10460355" cy="7395845"/>
                    </a:xfrm>
                    <a:prstGeom prst="rect">
                      <a:avLst/>
                    </a:prstGeom>
                  </pic:spPr>
                </pic:pic>
              </a:graphicData>
            </a:graphic>
          </wp:anchor>
        </w:drawing>
      </w:r>
    </w:p>
    <w:p>
      <w:pPr>
        <w:pStyle w:val="2"/>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82816" behindDoc="0" locked="0" layoutInCell="1" allowOverlap="1">
            <wp:simplePos x="0" y="0"/>
            <wp:positionH relativeFrom="column">
              <wp:posOffset>-862330</wp:posOffset>
            </wp:positionH>
            <wp:positionV relativeFrom="paragraph">
              <wp:posOffset>-851535</wp:posOffset>
            </wp:positionV>
            <wp:extent cx="10316845" cy="7294245"/>
            <wp:effectExtent l="0" t="0" r="8255" b="1905"/>
            <wp:wrapNone/>
            <wp:docPr id="26" name="图片 26" descr="2附图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附图_页面_14"/>
                    <pic:cNvPicPr>
                      <a:picLocks noChangeAspect="1"/>
                    </pic:cNvPicPr>
                  </pic:nvPicPr>
                  <pic:blipFill>
                    <a:blip r:embed="rId50"/>
                    <a:stretch>
                      <a:fillRect/>
                    </a:stretch>
                  </pic:blipFill>
                  <pic:spPr>
                    <a:xfrm>
                      <a:off x="0" y="0"/>
                      <a:ext cx="10316845" cy="7294245"/>
                    </a:xfrm>
                    <a:prstGeom prst="rect">
                      <a:avLst/>
                    </a:prstGeom>
                  </pic:spPr>
                </pic:pic>
              </a:graphicData>
            </a:graphic>
          </wp:anchor>
        </w:drawing>
      </w:r>
    </w:p>
    <w:p>
      <w:pPr>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anchor distT="0" distB="0" distL="114300" distR="114300" simplePos="0" relativeHeight="251683840" behindDoc="0" locked="0" layoutInCell="1" allowOverlap="1">
            <wp:simplePos x="0" y="0"/>
            <wp:positionH relativeFrom="column">
              <wp:posOffset>-753745</wp:posOffset>
            </wp:positionH>
            <wp:positionV relativeFrom="paragraph">
              <wp:posOffset>-702945</wp:posOffset>
            </wp:positionV>
            <wp:extent cx="10411460" cy="7360920"/>
            <wp:effectExtent l="0" t="0" r="8890" b="11430"/>
            <wp:wrapNone/>
            <wp:docPr id="27" name="图片 27" descr="2附图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附图_页面_15"/>
                    <pic:cNvPicPr>
                      <a:picLocks noChangeAspect="1"/>
                    </pic:cNvPicPr>
                  </pic:nvPicPr>
                  <pic:blipFill>
                    <a:blip r:embed="rId51"/>
                    <a:stretch>
                      <a:fillRect/>
                    </a:stretch>
                  </pic:blipFill>
                  <pic:spPr>
                    <a:xfrm>
                      <a:off x="0" y="0"/>
                      <a:ext cx="10411460" cy="7360920"/>
                    </a:xfrm>
                    <a:prstGeom prst="rect">
                      <a:avLst/>
                    </a:prstGeom>
                  </pic:spPr>
                </pic:pic>
              </a:graphicData>
            </a:graphic>
          </wp:anchor>
        </w:drawing>
      </w:r>
    </w:p>
    <w:p>
      <w:pPr>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anchor distT="0" distB="0" distL="114300" distR="114300" simplePos="0" relativeHeight="251694080" behindDoc="0" locked="0" layoutInCell="1" allowOverlap="1">
            <wp:simplePos x="0" y="0"/>
            <wp:positionH relativeFrom="column">
              <wp:posOffset>-742950</wp:posOffset>
            </wp:positionH>
            <wp:positionV relativeFrom="paragraph">
              <wp:posOffset>-770890</wp:posOffset>
            </wp:positionV>
            <wp:extent cx="7160260" cy="10124440"/>
            <wp:effectExtent l="0" t="0" r="2540" b="10160"/>
            <wp:wrapNone/>
            <wp:docPr id="49" name="图片 49" descr="3附件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附件_页面_01"/>
                    <pic:cNvPicPr>
                      <a:picLocks noChangeAspect="1"/>
                    </pic:cNvPicPr>
                  </pic:nvPicPr>
                  <pic:blipFill>
                    <a:blip r:embed="rId52"/>
                    <a:stretch>
                      <a:fillRect/>
                    </a:stretch>
                  </pic:blipFill>
                  <pic:spPr>
                    <a:xfrm>
                      <a:off x="0" y="0"/>
                      <a:ext cx="7160260" cy="10124440"/>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93056" behindDoc="0" locked="0" layoutInCell="1" allowOverlap="1">
            <wp:simplePos x="0" y="0"/>
            <wp:positionH relativeFrom="column">
              <wp:posOffset>-838200</wp:posOffset>
            </wp:positionH>
            <wp:positionV relativeFrom="paragraph">
              <wp:posOffset>-842010</wp:posOffset>
            </wp:positionV>
            <wp:extent cx="7193280" cy="10173335"/>
            <wp:effectExtent l="0" t="0" r="7620" b="18415"/>
            <wp:wrapNone/>
            <wp:docPr id="50" name="图片 50" descr="3附件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附件_页面_02"/>
                    <pic:cNvPicPr>
                      <a:picLocks noChangeAspect="1"/>
                    </pic:cNvPicPr>
                  </pic:nvPicPr>
                  <pic:blipFill>
                    <a:blip r:embed="rId53"/>
                    <a:stretch>
                      <a:fillRect/>
                    </a:stretch>
                  </pic:blipFill>
                  <pic:spPr>
                    <a:xfrm>
                      <a:off x="0" y="0"/>
                      <a:ext cx="7193280" cy="10173335"/>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92032" behindDoc="0" locked="0" layoutInCell="1" allowOverlap="1">
            <wp:simplePos x="0" y="0"/>
            <wp:positionH relativeFrom="column">
              <wp:posOffset>-838835</wp:posOffset>
            </wp:positionH>
            <wp:positionV relativeFrom="paragraph">
              <wp:posOffset>-889000</wp:posOffset>
            </wp:positionV>
            <wp:extent cx="7378065" cy="10434955"/>
            <wp:effectExtent l="0" t="0" r="13335" b="4445"/>
            <wp:wrapNone/>
            <wp:docPr id="51" name="图片 51" descr="3附件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附件_页面_03"/>
                    <pic:cNvPicPr>
                      <a:picLocks noChangeAspect="1"/>
                    </pic:cNvPicPr>
                  </pic:nvPicPr>
                  <pic:blipFill>
                    <a:blip r:embed="rId54"/>
                    <a:stretch>
                      <a:fillRect/>
                    </a:stretch>
                  </pic:blipFill>
                  <pic:spPr>
                    <a:xfrm>
                      <a:off x="0" y="0"/>
                      <a:ext cx="7378065" cy="10434955"/>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91008" behindDoc="0" locked="0" layoutInCell="1" allowOverlap="1">
            <wp:simplePos x="0" y="0"/>
            <wp:positionH relativeFrom="column">
              <wp:posOffset>-671195</wp:posOffset>
            </wp:positionH>
            <wp:positionV relativeFrom="paragraph">
              <wp:posOffset>-818515</wp:posOffset>
            </wp:positionV>
            <wp:extent cx="6828155" cy="9646285"/>
            <wp:effectExtent l="0" t="0" r="10795" b="12065"/>
            <wp:wrapNone/>
            <wp:docPr id="52" name="图片 52" descr="3附件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附件_页面_04"/>
                    <pic:cNvPicPr>
                      <a:picLocks noChangeAspect="1"/>
                    </pic:cNvPicPr>
                  </pic:nvPicPr>
                  <pic:blipFill>
                    <a:blip r:embed="rId55"/>
                    <a:stretch>
                      <a:fillRect/>
                    </a:stretch>
                  </pic:blipFill>
                  <pic:spPr>
                    <a:xfrm>
                      <a:off x="0" y="0"/>
                      <a:ext cx="6828155" cy="9646285"/>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9984" behindDoc="0" locked="0" layoutInCell="1" allowOverlap="1">
            <wp:simplePos x="0" y="0"/>
            <wp:positionH relativeFrom="column">
              <wp:posOffset>-671830</wp:posOffset>
            </wp:positionH>
            <wp:positionV relativeFrom="paragraph">
              <wp:posOffset>-889635</wp:posOffset>
            </wp:positionV>
            <wp:extent cx="7147560" cy="10097770"/>
            <wp:effectExtent l="0" t="0" r="15240" b="17780"/>
            <wp:wrapNone/>
            <wp:docPr id="53" name="图片 53" descr="3附件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3附件_页面_05"/>
                    <pic:cNvPicPr>
                      <a:picLocks noChangeAspect="1"/>
                    </pic:cNvPicPr>
                  </pic:nvPicPr>
                  <pic:blipFill>
                    <a:blip r:embed="rId56"/>
                    <a:stretch>
                      <a:fillRect/>
                    </a:stretch>
                  </pic:blipFill>
                  <pic:spPr>
                    <a:xfrm>
                      <a:off x="0" y="0"/>
                      <a:ext cx="7147560" cy="10097770"/>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8960" behindDoc="0" locked="0" layoutInCell="1" allowOverlap="1">
            <wp:simplePos x="0" y="0"/>
            <wp:positionH relativeFrom="column">
              <wp:posOffset>-909320</wp:posOffset>
            </wp:positionH>
            <wp:positionV relativeFrom="paragraph">
              <wp:posOffset>-913765</wp:posOffset>
            </wp:positionV>
            <wp:extent cx="7174865" cy="10149205"/>
            <wp:effectExtent l="0" t="0" r="6985" b="4445"/>
            <wp:wrapNone/>
            <wp:docPr id="54" name="图片 54" descr="3附件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3附件_页面_06"/>
                    <pic:cNvPicPr>
                      <a:picLocks noChangeAspect="1"/>
                    </pic:cNvPicPr>
                  </pic:nvPicPr>
                  <pic:blipFill>
                    <a:blip r:embed="rId57"/>
                    <a:stretch>
                      <a:fillRect/>
                    </a:stretch>
                  </pic:blipFill>
                  <pic:spPr>
                    <a:xfrm>
                      <a:off x="0" y="0"/>
                      <a:ext cx="7174865" cy="10149205"/>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8960" behindDoc="1" locked="0" layoutInCell="1" allowOverlap="1">
            <wp:simplePos x="0" y="0"/>
            <wp:positionH relativeFrom="column">
              <wp:posOffset>-933450</wp:posOffset>
            </wp:positionH>
            <wp:positionV relativeFrom="paragraph">
              <wp:posOffset>-628015</wp:posOffset>
            </wp:positionV>
            <wp:extent cx="7192010" cy="10173335"/>
            <wp:effectExtent l="0" t="0" r="8890" b="18415"/>
            <wp:wrapNone/>
            <wp:docPr id="55" name="图片 55" descr="3附件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3附件_页面_08"/>
                    <pic:cNvPicPr>
                      <a:picLocks noChangeAspect="1"/>
                    </pic:cNvPicPr>
                  </pic:nvPicPr>
                  <pic:blipFill>
                    <a:blip r:embed="rId58"/>
                    <a:stretch>
                      <a:fillRect/>
                    </a:stretch>
                  </pic:blipFill>
                  <pic:spPr>
                    <a:xfrm>
                      <a:off x="0" y="0"/>
                      <a:ext cx="7192010" cy="10173335"/>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7936" behindDoc="0" locked="0" layoutInCell="1" allowOverlap="1">
            <wp:simplePos x="0" y="0"/>
            <wp:positionH relativeFrom="column">
              <wp:posOffset>-647700</wp:posOffset>
            </wp:positionH>
            <wp:positionV relativeFrom="paragraph">
              <wp:posOffset>-746760</wp:posOffset>
            </wp:positionV>
            <wp:extent cx="7091045" cy="10031095"/>
            <wp:effectExtent l="0" t="0" r="14605" b="8255"/>
            <wp:wrapNone/>
            <wp:docPr id="56" name="图片 56" descr="3附件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附件_页面_09"/>
                    <pic:cNvPicPr>
                      <a:picLocks noChangeAspect="1"/>
                    </pic:cNvPicPr>
                  </pic:nvPicPr>
                  <pic:blipFill>
                    <a:blip r:embed="rId59"/>
                    <a:stretch>
                      <a:fillRect/>
                    </a:stretch>
                  </pic:blipFill>
                  <pic:spPr>
                    <a:xfrm>
                      <a:off x="0" y="0"/>
                      <a:ext cx="7091045" cy="10031095"/>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7936" behindDoc="1" locked="0" layoutInCell="1" allowOverlap="1">
            <wp:simplePos x="0" y="0"/>
            <wp:positionH relativeFrom="column">
              <wp:posOffset>-933450</wp:posOffset>
            </wp:positionH>
            <wp:positionV relativeFrom="paragraph">
              <wp:posOffset>-651510</wp:posOffset>
            </wp:positionV>
            <wp:extent cx="7225030" cy="10222230"/>
            <wp:effectExtent l="0" t="0" r="13970" b="7620"/>
            <wp:wrapNone/>
            <wp:docPr id="57" name="图片 57" descr="3附件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3附件_页面_10"/>
                    <pic:cNvPicPr>
                      <a:picLocks noChangeAspect="1"/>
                    </pic:cNvPicPr>
                  </pic:nvPicPr>
                  <pic:blipFill>
                    <a:blip r:embed="rId60"/>
                    <a:stretch>
                      <a:fillRect/>
                    </a:stretch>
                  </pic:blipFill>
                  <pic:spPr>
                    <a:xfrm>
                      <a:off x="0" y="0"/>
                      <a:ext cx="7225030" cy="10222230"/>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7936" behindDoc="1" locked="0" layoutInCell="1" allowOverlap="1">
            <wp:simplePos x="0" y="0"/>
            <wp:positionH relativeFrom="column">
              <wp:posOffset>-790575</wp:posOffset>
            </wp:positionH>
            <wp:positionV relativeFrom="paragraph">
              <wp:posOffset>-865505</wp:posOffset>
            </wp:positionV>
            <wp:extent cx="7177405" cy="10148570"/>
            <wp:effectExtent l="0" t="0" r="4445" b="5080"/>
            <wp:wrapNone/>
            <wp:docPr id="58" name="图片 58" descr="3附件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附件_页面_11"/>
                    <pic:cNvPicPr>
                      <a:picLocks noChangeAspect="1"/>
                    </pic:cNvPicPr>
                  </pic:nvPicPr>
                  <pic:blipFill>
                    <a:blip r:embed="rId61"/>
                    <a:stretch>
                      <a:fillRect/>
                    </a:stretch>
                  </pic:blipFill>
                  <pic:spPr>
                    <a:xfrm>
                      <a:off x="0" y="0"/>
                      <a:ext cx="7177405" cy="10148570"/>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7936" behindDoc="1" locked="0" layoutInCell="1" allowOverlap="1">
            <wp:simplePos x="0" y="0"/>
            <wp:positionH relativeFrom="column">
              <wp:posOffset>-719455</wp:posOffset>
            </wp:positionH>
            <wp:positionV relativeFrom="paragraph">
              <wp:posOffset>-603885</wp:posOffset>
            </wp:positionV>
            <wp:extent cx="6791325" cy="9603105"/>
            <wp:effectExtent l="0" t="0" r="9525" b="17145"/>
            <wp:wrapNone/>
            <wp:docPr id="59" name="图片 59" descr="3附件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3附件_页面_12"/>
                    <pic:cNvPicPr>
                      <a:picLocks noChangeAspect="1"/>
                    </pic:cNvPicPr>
                  </pic:nvPicPr>
                  <pic:blipFill>
                    <a:blip r:embed="rId62"/>
                    <a:stretch>
                      <a:fillRect/>
                    </a:stretch>
                  </pic:blipFill>
                  <pic:spPr>
                    <a:xfrm>
                      <a:off x="0" y="0"/>
                      <a:ext cx="6791325" cy="9603105"/>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7936" behindDoc="1" locked="0" layoutInCell="1" allowOverlap="1">
            <wp:simplePos x="0" y="0"/>
            <wp:positionH relativeFrom="column">
              <wp:posOffset>-767080</wp:posOffset>
            </wp:positionH>
            <wp:positionV relativeFrom="paragraph">
              <wp:posOffset>-603885</wp:posOffset>
            </wp:positionV>
            <wp:extent cx="7109460" cy="10054590"/>
            <wp:effectExtent l="0" t="0" r="15240" b="3810"/>
            <wp:wrapNone/>
            <wp:docPr id="60" name="图片 60" descr="3附件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附件_页面_13"/>
                    <pic:cNvPicPr>
                      <a:picLocks noChangeAspect="1"/>
                    </pic:cNvPicPr>
                  </pic:nvPicPr>
                  <pic:blipFill>
                    <a:blip r:embed="rId63"/>
                    <a:stretch>
                      <a:fillRect/>
                    </a:stretch>
                  </pic:blipFill>
                  <pic:spPr>
                    <a:xfrm>
                      <a:off x="0" y="0"/>
                      <a:ext cx="7109460" cy="10054590"/>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7936" behindDoc="1" locked="0" layoutInCell="1" allowOverlap="1">
            <wp:simplePos x="0" y="0"/>
            <wp:positionH relativeFrom="column">
              <wp:posOffset>-742950</wp:posOffset>
            </wp:positionH>
            <wp:positionV relativeFrom="paragraph">
              <wp:posOffset>-485140</wp:posOffset>
            </wp:positionV>
            <wp:extent cx="6840855" cy="9672955"/>
            <wp:effectExtent l="0" t="0" r="17145" b="4445"/>
            <wp:wrapNone/>
            <wp:docPr id="61" name="图片 61" descr="3附件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附件_页面_14"/>
                    <pic:cNvPicPr>
                      <a:picLocks noChangeAspect="1"/>
                    </pic:cNvPicPr>
                  </pic:nvPicPr>
                  <pic:blipFill>
                    <a:blip r:embed="rId64"/>
                    <a:stretch>
                      <a:fillRect/>
                    </a:stretch>
                  </pic:blipFill>
                  <pic:spPr>
                    <a:xfrm>
                      <a:off x="0" y="0"/>
                      <a:ext cx="6840855" cy="9672955"/>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7936" behindDoc="1" locked="0" layoutInCell="1" allowOverlap="1">
            <wp:simplePos x="0" y="0"/>
            <wp:positionH relativeFrom="column">
              <wp:posOffset>-600075</wp:posOffset>
            </wp:positionH>
            <wp:positionV relativeFrom="paragraph">
              <wp:posOffset>-484505</wp:posOffset>
            </wp:positionV>
            <wp:extent cx="6873875" cy="9721215"/>
            <wp:effectExtent l="0" t="0" r="3175" b="13335"/>
            <wp:wrapNone/>
            <wp:docPr id="62" name="图片 62" descr="3附件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附件_页面_15"/>
                    <pic:cNvPicPr>
                      <a:picLocks noChangeAspect="1"/>
                    </pic:cNvPicPr>
                  </pic:nvPicPr>
                  <pic:blipFill>
                    <a:blip r:embed="rId65"/>
                    <a:stretch>
                      <a:fillRect/>
                    </a:stretch>
                  </pic:blipFill>
                  <pic:spPr>
                    <a:xfrm>
                      <a:off x="0" y="0"/>
                      <a:ext cx="6873875" cy="9721215"/>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6912" behindDoc="0" locked="0" layoutInCell="1" allowOverlap="1">
            <wp:simplePos x="0" y="0"/>
            <wp:positionH relativeFrom="column">
              <wp:posOffset>-790575</wp:posOffset>
            </wp:positionH>
            <wp:positionV relativeFrom="paragraph">
              <wp:posOffset>-865505</wp:posOffset>
            </wp:positionV>
            <wp:extent cx="7311390" cy="10340340"/>
            <wp:effectExtent l="0" t="0" r="3810" b="3810"/>
            <wp:wrapNone/>
            <wp:docPr id="63" name="图片 63" descr="3附件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3附件_页面_16"/>
                    <pic:cNvPicPr>
                      <a:picLocks noChangeAspect="1"/>
                    </pic:cNvPicPr>
                  </pic:nvPicPr>
                  <pic:blipFill>
                    <a:blip r:embed="rId66"/>
                    <a:stretch>
                      <a:fillRect/>
                    </a:stretch>
                  </pic:blipFill>
                  <pic:spPr>
                    <a:xfrm>
                      <a:off x="0" y="0"/>
                      <a:ext cx="7311390" cy="10340340"/>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6912" behindDoc="1" locked="0" layoutInCell="1" allowOverlap="1">
            <wp:simplePos x="0" y="0"/>
            <wp:positionH relativeFrom="column">
              <wp:posOffset>-600075</wp:posOffset>
            </wp:positionH>
            <wp:positionV relativeFrom="paragraph">
              <wp:posOffset>-532765</wp:posOffset>
            </wp:positionV>
            <wp:extent cx="6940550" cy="9815830"/>
            <wp:effectExtent l="0" t="0" r="12700" b="13970"/>
            <wp:wrapNone/>
            <wp:docPr id="64" name="图片 64" descr="3附件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3附件_页面_17"/>
                    <pic:cNvPicPr>
                      <a:picLocks noChangeAspect="1"/>
                    </pic:cNvPicPr>
                  </pic:nvPicPr>
                  <pic:blipFill>
                    <a:blip r:embed="rId67"/>
                    <a:stretch>
                      <a:fillRect/>
                    </a:stretch>
                  </pic:blipFill>
                  <pic:spPr>
                    <a:xfrm>
                      <a:off x="0" y="0"/>
                      <a:ext cx="6940550" cy="9815830"/>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6912" behindDoc="1" locked="0" layoutInCell="1" allowOverlap="1">
            <wp:simplePos x="0" y="0"/>
            <wp:positionH relativeFrom="column">
              <wp:posOffset>-623570</wp:posOffset>
            </wp:positionH>
            <wp:positionV relativeFrom="paragraph">
              <wp:posOffset>-889635</wp:posOffset>
            </wp:positionV>
            <wp:extent cx="7075170" cy="10006330"/>
            <wp:effectExtent l="0" t="0" r="11430" b="13970"/>
            <wp:wrapNone/>
            <wp:docPr id="65" name="图片 65" descr="3附件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3附件_页面_18"/>
                    <pic:cNvPicPr>
                      <a:picLocks noChangeAspect="1"/>
                    </pic:cNvPicPr>
                  </pic:nvPicPr>
                  <pic:blipFill>
                    <a:blip r:embed="rId68"/>
                    <a:stretch>
                      <a:fillRect/>
                    </a:stretch>
                  </pic:blipFill>
                  <pic:spPr>
                    <a:xfrm>
                      <a:off x="0" y="0"/>
                      <a:ext cx="7075170" cy="10006330"/>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5888" behindDoc="0" locked="0" layoutInCell="1" allowOverlap="1">
            <wp:simplePos x="0" y="0"/>
            <wp:positionH relativeFrom="column">
              <wp:posOffset>-742315</wp:posOffset>
            </wp:positionH>
            <wp:positionV relativeFrom="paragraph">
              <wp:posOffset>-818515</wp:posOffset>
            </wp:positionV>
            <wp:extent cx="7429500" cy="10505440"/>
            <wp:effectExtent l="0" t="0" r="0" b="10160"/>
            <wp:wrapNone/>
            <wp:docPr id="66" name="图片 66" descr="3附件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3附件_页面_19"/>
                    <pic:cNvPicPr>
                      <a:picLocks noChangeAspect="1"/>
                    </pic:cNvPicPr>
                  </pic:nvPicPr>
                  <pic:blipFill>
                    <a:blip r:embed="rId69"/>
                    <a:stretch>
                      <a:fillRect/>
                    </a:stretch>
                  </pic:blipFill>
                  <pic:spPr>
                    <a:xfrm>
                      <a:off x="0" y="0"/>
                      <a:ext cx="7429500" cy="10505440"/>
                    </a:xfrm>
                    <a:prstGeom prst="rect">
                      <a:avLst/>
                    </a:prstGeom>
                  </pic:spPr>
                </pic:pic>
              </a:graphicData>
            </a:graphic>
          </wp:anchor>
        </w:drawing>
      </w:r>
    </w:p>
    <w:p>
      <w:pPr>
        <w:pStyle w:val="2"/>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84864" behindDoc="0" locked="0" layoutInCell="1" allowOverlap="1">
            <wp:simplePos x="0" y="0"/>
            <wp:positionH relativeFrom="column">
              <wp:posOffset>-694690</wp:posOffset>
            </wp:positionH>
            <wp:positionV relativeFrom="paragraph">
              <wp:posOffset>-580390</wp:posOffset>
            </wp:positionV>
            <wp:extent cx="7131685" cy="10080625"/>
            <wp:effectExtent l="0" t="0" r="12065" b="15875"/>
            <wp:wrapNone/>
            <wp:docPr id="67" name="图片 67" descr="3附件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3附件_页面_20"/>
                    <pic:cNvPicPr>
                      <a:picLocks noChangeAspect="1"/>
                    </pic:cNvPicPr>
                  </pic:nvPicPr>
                  <pic:blipFill>
                    <a:blip r:embed="rId70"/>
                    <a:stretch>
                      <a:fillRect/>
                    </a:stretch>
                  </pic:blipFill>
                  <pic:spPr>
                    <a:xfrm>
                      <a:off x="0" y="0"/>
                      <a:ext cx="7131685" cy="10080625"/>
                    </a:xfrm>
                    <a:prstGeom prst="rect">
                      <a:avLst/>
                    </a:prstGeom>
                  </pic:spPr>
                </pic:pic>
              </a:graphicData>
            </a:graphic>
          </wp:anchor>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anchor distT="0" distB="0" distL="114300" distR="114300" simplePos="0" relativeHeight="251696128" behindDoc="0" locked="0" layoutInCell="1" allowOverlap="1">
            <wp:simplePos x="0" y="0"/>
            <wp:positionH relativeFrom="column">
              <wp:posOffset>-576580</wp:posOffset>
            </wp:positionH>
            <wp:positionV relativeFrom="paragraph">
              <wp:posOffset>-708660</wp:posOffset>
            </wp:positionV>
            <wp:extent cx="6706870" cy="9772015"/>
            <wp:effectExtent l="0" t="0" r="17780" b="635"/>
            <wp:wrapNone/>
            <wp:docPr id="68" name="图片 68" descr="51dd79f55e0c0f8ab542c5fd6e5f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51dd79f55e0c0f8ab542c5fd6e5f292"/>
                    <pic:cNvPicPr>
                      <a:picLocks noChangeAspect="1"/>
                    </pic:cNvPicPr>
                  </pic:nvPicPr>
                  <pic:blipFill>
                    <a:blip r:embed="rId71"/>
                    <a:stretch>
                      <a:fillRect/>
                    </a:stretch>
                  </pic:blipFill>
                  <pic:spPr>
                    <a:xfrm>
                      <a:off x="0" y="0"/>
                      <a:ext cx="6706870" cy="9772015"/>
                    </a:xfrm>
                    <a:prstGeom prst="rect">
                      <a:avLst/>
                    </a:prstGeom>
                  </pic:spPr>
                </pic:pic>
              </a:graphicData>
            </a:graphic>
          </wp:anchor>
        </w:drawing>
      </w:r>
    </w:p>
    <w:p>
      <w:pPr>
        <w:pStyle w:val="2"/>
        <w:rPr>
          <w:rFonts w:hint="eastAsia"/>
          <w:lang w:eastAsia="zh-CN"/>
        </w:rPr>
      </w:pPr>
      <w:r>
        <w:rPr>
          <w:rFonts w:hint="eastAsia"/>
          <w:lang w:eastAsia="zh-CN"/>
        </w:rPr>
        <w:drawing>
          <wp:anchor distT="0" distB="0" distL="114300" distR="114300" simplePos="0" relativeHeight="251695104" behindDoc="0" locked="0" layoutInCell="1" allowOverlap="1">
            <wp:simplePos x="0" y="0"/>
            <wp:positionH relativeFrom="column">
              <wp:posOffset>-528320</wp:posOffset>
            </wp:positionH>
            <wp:positionV relativeFrom="paragraph">
              <wp:posOffset>-851535</wp:posOffset>
            </wp:positionV>
            <wp:extent cx="6787515" cy="10017760"/>
            <wp:effectExtent l="0" t="0" r="13335" b="2540"/>
            <wp:wrapNone/>
            <wp:docPr id="69" name="图片 69" descr="edf61994542cf22c3ce5d00e2b029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edf61994542cf22c3ce5d00e2b0290f"/>
                    <pic:cNvPicPr>
                      <a:picLocks noChangeAspect="1"/>
                    </pic:cNvPicPr>
                  </pic:nvPicPr>
                  <pic:blipFill>
                    <a:blip r:embed="rId72"/>
                    <a:stretch>
                      <a:fillRect/>
                    </a:stretch>
                  </pic:blipFill>
                  <pic:spPr>
                    <a:xfrm>
                      <a:off x="0" y="0"/>
                      <a:ext cx="6787515" cy="10017760"/>
                    </a:xfrm>
                    <a:prstGeom prst="rect">
                      <a:avLst/>
                    </a:prstGeom>
                  </pic:spPr>
                </pic:pic>
              </a:graphicData>
            </a:graphic>
          </wp:anchor>
        </w:drawing>
      </w:r>
    </w:p>
    <w:sectPr>
      <w:pgSz w:w="11906" w:h="16838"/>
      <w:pgMar w:top="1701" w:right="1531" w:bottom="1701" w:left="1531" w:header="851" w:footer="851"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framePr w:wrap="around" w:vAnchor="text" w:hAnchor="margin" w:xAlign="center" w:y="1"/>
      <w:ind w:firstLine="360"/>
      <w:rPr>
        <w:rStyle w:val="37"/>
      </w:rPr>
    </w:pPr>
    <w:r>
      <w:fldChar w:fldCharType="begin"/>
    </w:r>
    <w:r>
      <w:rPr>
        <w:rStyle w:val="37"/>
      </w:rPr>
      <w:instrText xml:space="preserve">PAGE  </w:instrText>
    </w:r>
    <w:r>
      <w:fldChar w:fldCharType="end"/>
    </w:r>
  </w:p>
  <w:p>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420"/>
      <w:jc w:val="center"/>
      <w:rPr>
        <w:sz w:val="21"/>
        <w:szCs w:val="21"/>
      </w:rPr>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ind w:firstLine="420"/>
                            <w:jc w:val="center"/>
                          </w:pPr>
                          <w:r>
                            <w:rPr>
                              <w:sz w:val="21"/>
                              <w:szCs w:val="21"/>
                            </w:rPr>
                            <w:fldChar w:fldCharType="begin"/>
                          </w:r>
                          <w:r>
                            <w:rPr>
                              <w:sz w:val="21"/>
                              <w:szCs w:val="21"/>
                            </w:rPr>
                            <w:instrText xml:space="preserve"> PAGE   \* MERGEFORMAT </w:instrText>
                          </w:r>
                          <w:r>
                            <w:rPr>
                              <w:sz w:val="21"/>
                              <w:szCs w:val="21"/>
                            </w:rPr>
                            <w:fldChar w:fldCharType="separate"/>
                          </w:r>
                          <w:r>
                            <w:rPr>
                              <w:sz w:val="21"/>
                              <w:szCs w:val="21"/>
                              <w:lang w:val="zh-CN"/>
                            </w:rPr>
                            <w:t>-</w:t>
                          </w:r>
                          <w:r>
                            <w:rPr>
                              <w:sz w:val="21"/>
                              <w:szCs w:val="21"/>
                            </w:rPr>
                            <w:t xml:space="preserve"> 13 -</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pPr>
                      <w:pStyle w:val="18"/>
                      <w:ind w:firstLine="420"/>
                      <w:jc w:val="center"/>
                    </w:pPr>
                    <w:r>
                      <w:rPr>
                        <w:sz w:val="21"/>
                        <w:szCs w:val="21"/>
                      </w:rPr>
                      <w:fldChar w:fldCharType="begin"/>
                    </w:r>
                    <w:r>
                      <w:rPr>
                        <w:sz w:val="21"/>
                        <w:szCs w:val="21"/>
                      </w:rPr>
                      <w:instrText xml:space="preserve"> PAGE   \* MERGEFORMAT </w:instrText>
                    </w:r>
                    <w:r>
                      <w:rPr>
                        <w:sz w:val="21"/>
                        <w:szCs w:val="21"/>
                      </w:rPr>
                      <w:fldChar w:fldCharType="separate"/>
                    </w:r>
                    <w:r>
                      <w:rPr>
                        <w:sz w:val="21"/>
                        <w:szCs w:val="21"/>
                        <w:lang w:val="zh-CN"/>
                      </w:rPr>
                      <w:t>-</w:t>
                    </w:r>
                    <w:r>
                      <w:rPr>
                        <w:sz w:val="21"/>
                        <w:szCs w:val="21"/>
                      </w:rPr>
                      <w:t xml:space="preserve"> 13 -</w:t>
                    </w:r>
                    <w:r>
                      <w:rPr>
                        <w:sz w:val="21"/>
                        <w:szCs w:val="21"/>
                      </w:rPr>
                      <w:fldChar w:fldCharType="end"/>
                    </w:r>
                  </w:p>
                </w:txbxContent>
              </v:textbox>
            </v:shape>
          </w:pict>
        </mc:Fallback>
      </mc:AlternateContent>
    </w:r>
  </w:p>
  <w:p>
    <w:pPr>
      <w:pStyle w:val="18"/>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420"/>
      <w:jc w:val="center"/>
      <w:rPr>
        <w:sz w:val="21"/>
        <w:szCs w:val="21"/>
      </w:rPr>
    </w:pPr>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ind w:firstLine="420"/>
                            <w:jc w:val="center"/>
                          </w:pPr>
                          <w:r>
                            <w:rPr>
                              <w:sz w:val="21"/>
                              <w:szCs w:val="21"/>
                            </w:rPr>
                            <w:fldChar w:fldCharType="begin"/>
                          </w:r>
                          <w:r>
                            <w:rPr>
                              <w:sz w:val="21"/>
                              <w:szCs w:val="21"/>
                            </w:rPr>
                            <w:instrText xml:space="preserve"> PAGE   \* MERGEFORMAT </w:instrText>
                          </w:r>
                          <w:r>
                            <w:rPr>
                              <w:sz w:val="21"/>
                              <w:szCs w:val="21"/>
                            </w:rPr>
                            <w:fldChar w:fldCharType="separate"/>
                          </w:r>
                          <w:r>
                            <w:rPr>
                              <w:sz w:val="21"/>
                              <w:szCs w:val="21"/>
                              <w:lang w:val="zh-CN"/>
                            </w:rPr>
                            <w:t>-</w:t>
                          </w:r>
                          <w:r>
                            <w:rPr>
                              <w:sz w:val="21"/>
                              <w:szCs w:val="21"/>
                            </w:rPr>
                            <w:t>40-</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pPr>
                      <w:pStyle w:val="18"/>
                      <w:ind w:firstLine="420"/>
                      <w:jc w:val="center"/>
                    </w:pPr>
                    <w:r>
                      <w:rPr>
                        <w:sz w:val="21"/>
                        <w:szCs w:val="21"/>
                      </w:rPr>
                      <w:fldChar w:fldCharType="begin"/>
                    </w:r>
                    <w:r>
                      <w:rPr>
                        <w:sz w:val="21"/>
                        <w:szCs w:val="21"/>
                      </w:rPr>
                      <w:instrText xml:space="preserve"> PAGE   \* MERGEFORMAT </w:instrText>
                    </w:r>
                    <w:r>
                      <w:rPr>
                        <w:sz w:val="21"/>
                        <w:szCs w:val="21"/>
                      </w:rPr>
                      <w:fldChar w:fldCharType="separate"/>
                    </w:r>
                    <w:r>
                      <w:rPr>
                        <w:sz w:val="21"/>
                        <w:szCs w:val="21"/>
                        <w:lang w:val="zh-CN"/>
                      </w:rPr>
                      <w:t>-</w:t>
                    </w:r>
                    <w:r>
                      <w:rPr>
                        <w:sz w:val="21"/>
                        <w:szCs w:val="21"/>
                      </w:rPr>
                      <w:t>40-</w:t>
                    </w:r>
                    <w:r>
                      <w:rPr>
                        <w:sz w:val="21"/>
                        <w:szCs w:val="21"/>
                      </w:rPr>
                      <w:fldChar w:fldCharType="end"/>
                    </w:r>
                  </w:p>
                </w:txbxContent>
              </v:textbox>
            </v:shape>
          </w:pict>
        </mc:Fallback>
      </mc:AlternateContent>
    </w:r>
  </w:p>
  <w:p>
    <w:pPr>
      <w:pStyle w:val="18"/>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9C4E67"/>
    <w:multiLevelType w:val="singleLevel"/>
    <w:tmpl w:val="B59C4E67"/>
    <w:lvl w:ilvl="0" w:tentative="0">
      <w:start w:val="1"/>
      <w:numFmt w:val="decimal"/>
      <w:suff w:val="nothing"/>
      <w:lvlText w:val="%1、"/>
      <w:lvlJc w:val="left"/>
    </w:lvl>
  </w:abstractNum>
  <w:abstractNum w:abstractNumId="1">
    <w:nsid w:val="0721261E"/>
    <w:multiLevelType w:val="singleLevel"/>
    <w:tmpl w:val="0721261E"/>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0"/>
  <w:displayBackgroundShape w:val="1"/>
  <w:hideSpellingErrors/>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WNjNzMwNTdmNDVmZDA3NTAyOTA4NGExNGE5YmYwZWYifQ=="/>
  </w:docVars>
  <w:rsids>
    <w:rsidRoot w:val="00000000"/>
    <w:rsid w:val="0E286CF0"/>
    <w:rsid w:val="10AF7A15"/>
    <w:rsid w:val="174C337B"/>
    <w:rsid w:val="21C9771B"/>
    <w:rsid w:val="2F342BB3"/>
    <w:rsid w:val="37B77E9E"/>
    <w:rsid w:val="39900A3C"/>
    <w:rsid w:val="5A681EED"/>
    <w:rsid w:val="6DBB528E"/>
    <w:rsid w:val="7A103441"/>
    <w:rsid w:val="7EBB1A8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0" w:semiHidden="0" w:name="Normal Indent"/>
    <w:lsdException w:uiPriority="99" w:name="footnote text"/>
    <w:lsdException w:qFormat="1" w:unhideWhenUsed="0" w:uiPriority="99" w:name="annotation text"/>
    <w:lsdException w:qFormat="1" w:uiPriority="0"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qFormat="1" w:unhideWhenUsed="0" w:uiPriority="0" w:semiHidden="0"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9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80" w:lineRule="exact"/>
      <w:ind w:firstLine="720" w:firstLineChars="200"/>
      <w:jc w:val="both"/>
    </w:pPr>
    <w:rPr>
      <w:rFonts w:ascii="Times New Roman" w:hAnsi="Times New Roman" w:eastAsia="宋体" w:cstheme="minorBidi"/>
      <w:kern w:val="2"/>
      <w:sz w:val="24"/>
      <w:szCs w:val="22"/>
      <w:lang w:val="en-US" w:eastAsia="zh-CN" w:bidi="ar-SA"/>
    </w:rPr>
  </w:style>
  <w:style w:type="paragraph" w:styleId="3">
    <w:name w:val="heading 1"/>
    <w:basedOn w:val="1"/>
    <w:next w:val="1"/>
    <w:link w:val="47"/>
    <w:qFormat/>
    <w:uiPriority w:val="99"/>
    <w:pPr>
      <w:keepNext/>
      <w:overflowPunct w:val="0"/>
      <w:snapToGrid w:val="0"/>
      <w:ind w:firstLine="0" w:firstLineChars="0"/>
      <w:jc w:val="left"/>
      <w:outlineLvl w:val="0"/>
    </w:pPr>
    <w:rPr>
      <w:rFonts w:cs="Times New Roman"/>
      <w:b/>
      <w:bCs/>
      <w:color w:val="000000"/>
      <w:kern w:val="44"/>
      <w:sz w:val="32"/>
      <w:szCs w:val="30"/>
    </w:rPr>
  </w:style>
  <w:style w:type="paragraph" w:styleId="4">
    <w:name w:val="heading 2"/>
    <w:basedOn w:val="1"/>
    <w:next w:val="1"/>
    <w:unhideWhenUsed/>
    <w:qFormat/>
    <w:uiPriority w:val="9"/>
    <w:pPr>
      <w:keepNext/>
      <w:keepLines/>
      <w:ind w:firstLine="0" w:firstLineChars="0"/>
      <w:jc w:val="left"/>
      <w:outlineLvl w:val="1"/>
    </w:pPr>
    <w:rPr>
      <w:b/>
      <w:sz w:val="30"/>
    </w:rPr>
  </w:style>
  <w:style w:type="paragraph" w:styleId="5">
    <w:name w:val="heading 3"/>
    <w:basedOn w:val="1"/>
    <w:next w:val="1"/>
    <w:unhideWhenUsed/>
    <w:qFormat/>
    <w:uiPriority w:val="9"/>
    <w:pPr>
      <w:keepNext/>
      <w:keepLines/>
      <w:ind w:firstLine="0" w:firstLineChars="0"/>
      <w:jc w:val="left"/>
      <w:outlineLvl w:val="2"/>
    </w:pPr>
    <w:rPr>
      <w:b/>
      <w:sz w:val="28"/>
    </w:rPr>
  </w:style>
  <w:style w:type="paragraph" w:styleId="6">
    <w:name w:val="heading 4"/>
    <w:basedOn w:val="1"/>
    <w:next w:val="1"/>
    <w:unhideWhenUsed/>
    <w:qFormat/>
    <w:uiPriority w:val="9"/>
    <w:pPr>
      <w:keepNext/>
      <w:keepLines/>
      <w:ind w:firstLine="0" w:firstLineChars="0"/>
      <w:jc w:val="left"/>
      <w:outlineLvl w:val="3"/>
    </w:pPr>
    <w:rPr>
      <w:b/>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link w:val="49"/>
    <w:unhideWhenUsed/>
    <w:qFormat/>
    <w:uiPriority w:val="0"/>
    <w:pPr>
      <w:ind w:firstLine="420"/>
    </w:pPr>
    <w:rPr>
      <w:rFonts w:cs="Times New Roman"/>
      <w:szCs w:val="24"/>
    </w:rPr>
  </w:style>
  <w:style w:type="paragraph" w:styleId="7">
    <w:name w:val="table of authorities"/>
    <w:basedOn w:val="1"/>
    <w:next w:val="1"/>
    <w:qFormat/>
    <w:uiPriority w:val="0"/>
    <w:pPr>
      <w:ind w:left="420" w:leftChars="200"/>
    </w:pPr>
    <w:rPr>
      <w:rFonts w:cs="Times New Roman"/>
      <w:szCs w:val="24"/>
    </w:rPr>
  </w:style>
  <w:style w:type="paragraph" w:styleId="8">
    <w:name w:val="caption"/>
    <w:basedOn w:val="1"/>
    <w:next w:val="1"/>
    <w:qFormat/>
    <w:uiPriority w:val="35"/>
    <w:pPr>
      <w:spacing w:line="360" w:lineRule="auto"/>
      <w:jc w:val="center"/>
    </w:pPr>
    <w:rPr>
      <w:rFonts w:eastAsia="黑体" w:cs="Times New Roman"/>
      <w:szCs w:val="20"/>
    </w:rPr>
  </w:style>
  <w:style w:type="paragraph" w:styleId="9">
    <w:name w:val="annotation text"/>
    <w:basedOn w:val="1"/>
    <w:link w:val="50"/>
    <w:semiHidden/>
    <w:qFormat/>
    <w:uiPriority w:val="99"/>
    <w:pPr>
      <w:jc w:val="left"/>
    </w:pPr>
    <w:rPr>
      <w:rFonts w:cs="Times New Roman"/>
      <w:kern w:val="0"/>
      <w:szCs w:val="20"/>
    </w:rPr>
  </w:style>
  <w:style w:type="paragraph" w:styleId="10">
    <w:name w:val="Body Text 3"/>
    <w:basedOn w:val="1"/>
    <w:link w:val="97"/>
    <w:semiHidden/>
    <w:unhideWhenUsed/>
    <w:qFormat/>
    <w:uiPriority w:val="99"/>
    <w:pPr>
      <w:spacing w:after="120"/>
    </w:pPr>
    <w:rPr>
      <w:sz w:val="16"/>
      <w:szCs w:val="16"/>
    </w:rPr>
  </w:style>
  <w:style w:type="paragraph" w:styleId="11">
    <w:name w:val="Body Text"/>
    <w:basedOn w:val="1"/>
    <w:next w:val="1"/>
    <w:link w:val="51"/>
    <w:qFormat/>
    <w:uiPriority w:val="0"/>
    <w:pPr>
      <w:widowControl/>
      <w:snapToGrid w:val="0"/>
      <w:spacing w:before="60" w:after="160" w:line="259" w:lineRule="auto"/>
      <w:ind w:right="113"/>
    </w:pPr>
    <w:rPr>
      <w:rFonts w:cs="Times New Roman"/>
      <w:kern w:val="0"/>
      <w:sz w:val="18"/>
      <w:szCs w:val="20"/>
    </w:rPr>
  </w:style>
  <w:style w:type="paragraph" w:styleId="12">
    <w:name w:val="Body Text Indent"/>
    <w:basedOn w:val="1"/>
    <w:next w:val="13"/>
    <w:link w:val="52"/>
    <w:qFormat/>
    <w:uiPriority w:val="0"/>
    <w:pPr>
      <w:spacing w:after="120"/>
      <w:ind w:left="420" w:leftChars="200"/>
    </w:pPr>
    <w:rPr>
      <w:rFonts w:cs="Times New Roman"/>
      <w:kern w:val="0"/>
      <w:szCs w:val="20"/>
    </w:rPr>
  </w:style>
  <w:style w:type="paragraph" w:customStyle="1" w:styleId="13">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14">
    <w:name w:val="Plain Text"/>
    <w:basedOn w:val="1"/>
    <w:next w:val="1"/>
    <w:link w:val="48"/>
    <w:qFormat/>
    <w:uiPriority w:val="0"/>
    <w:rPr>
      <w:rFonts w:ascii="宋体" w:hAnsi="Courier New" w:cs="Times New Roman"/>
      <w:kern w:val="0"/>
      <w:sz w:val="20"/>
      <w:szCs w:val="20"/>
    </w:rPr>
  </w:style>
  <w:style w:type="paragraph" w:styleId="15">
    <w:name w:val="Date"/>
    <w:basedOn w:val="1"/>
    <w:next w:val="1"/>
    <w:link w:val="54"/>
    <w:qFormat/>
    <w:uiPriority w:val="0"/>
    <w:pPr>
      <w:ind w:left="100" w:leftChars="2500"/>
    </w:pPr>
    <w:rPr>
      <w:rFonts w:cs="Times New Roman"/>
      <w:kern w:val="0"/>
      <w:szCs w:val="20"/>
    </w:rPr>
  </w:style>
  <w:style w:type="paragraph" w:styleId="16">
    <w:name w:val="Body Text Indent 2"/>
    <w:basedOn w:val="1"/>
    <w:next w:val="1"/>
    <w:link w:val="55"/>
    <w:qFormat/>
    <w:uiPriority w:val="0"/>
    <w:pPr>
      <w:spacing w:after="120" w:line="480" w:lineRule="auto"/>
      <w:ind w:left="420" w:leftChars="200"/>
    </w:pPr>
    <w:rPr>
      <w:rFonts w:cs="Times New Roman"/>
      <w:szCs w:val="24"/>
    </w:rPr>
  </w:style>
  <w:style w:type="paragraph" w:styleId="17">
    <w:name w:val="Balloon Text"/>
    <w:basedOn w:val="1"/>
    <w:link w:val="56"/>
    <w:semiHidden/>
    <w:qFormat/>
    <w:uiPriority w:val="0"/>
    <w:rPr>
      <w:rFonts w:cs="Times New Roman"/>
      <w:kern w:val="0"/>
      <w:sz w:val="18"/>
      <w:szCs w:val="20"/>
    </w:rPr>
  </w:style>
  <w:style w:type="paragraph" w:styleId="18">
    <w:name w:val="footer"/>
    <w:basedOn w:val="1"/>
    <w:next w:val="1"/>
    <w:link w:val="46"/>
    <w:unhideWhenUsed/>
    <w:qFormat/>
    <w:uiPriority w:val="99"/>
    <w:pPr>
      <w:tabs>
        <w:tab w:val="center" w:pos="4153"/>
        <w:tab w:val="right" w:pos="8306"/>
      </w:tabs>
      <w:snapToGrid w:val="0"/>
      <w:jc w:val="left"/>
    </w:pPr>
    <w:rPr>
      <w:sz w:val="18"/>
      <w:szCs w:val="18"/>
    </w:rPr>
  </w:style>
  <w:style w:type="paragraph" w:styleId="19">
    <w:name w:val="header"/>
    <w:basedOn w:val="1"/>
    <w:link w:val="45"/>
    <w:unhideWhenUsed/>
    <w:qFormat/>
    <w:uiPriority w:val="0"/>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style>
  <w:style w:type="paragraph" w:styleId="21">
    <w:name w:val="List"/>
    <w:basedOn w:val="1"/>
    <w:qFormat/>
    <w:uiPriority w:val="0"/>
    <w:pPr>
      <w:ind w:left="200" w:hanging="200" w:hangingChars="200"/>
    </w:pPr>
    <w:rPr>
      <w:rFonts w:ascii="华文中宋" w:eastAsia="华文中宋" w:cs="Times New Roman"/>
      <w:szCs w:val="24"/>
    </w:rPr>
  </w:style>
  <w:style w:type="paragraph" w:styleId="22">
    <w:name w:val="List 5"/>
    <w:basedOn w:val="1"/>
    <w:next w:val="23"/>
    <w:qFormat/>
    <w:uiPriority w:val="0"/>
    <w:pPr>
      <w:widowControl/>
      <w:spacing w:line="440" w:lineRule="exact"/>
      <w:ind w:left="100" w:hanging="200"/>
    </w:pPr>
    <w:rPr>
      <w:rFonts w:ascii="宋体"/>
    </w:rPr>
  </w:style>
  <w:style w:type="paragraph" w:customStyle="1" w:styleId="23">
    <w:name w:val="大华农正文"/>
    <w:basedOn w:val="1"/>
    <w:next w:val="24"/>
    <w:qFormat/>
    <w:uiPriority w:val="0"/>
    <w:pPr>
      <w:spacing w:line="360" w:lineRule="auto"/>
      <w:ind w:firstLine="200"/>
    </w:pPr>
  </w:style>
  <w:style w:type="paragraph" w:customStyle="1" w:styleId="24">
    <w:name w:val="Char Char Char Char Char Char1 Char Char Char1 Char Char Char Char Char Char Char"/>
    <w:basedOn w:val="1"/>
    <w:next w:val="25"/>
    <w:qFormat/>
    <w:uiPriority w:val="0"/>
    <w:pPr>
      <w:spacing w:line="360" w:lineRule="auto"/>
      <w:ind w:firstLine="200"/>
    </w:pPr>
    <w:rPr>
      <w:rFonts w:ascii="宋体"/>
    </w:rPr>
  </w:style>
  <w:style w:type="paragraph" w:customStyle="1" w:styleId="25">
    <w:name w:val="标准"/>
    <w:basedOn w:val="1"/>
    <w:next w:val="26"/>
    <w:qFormat/>
    <w:uiPriority w:val="0"/>
    <w:pPr>
      <w:widowControl/>
      <w:ind w:firstLine="0"/>
    </w:pPr>
    <w:rPr>
      <w:rFonts w:ascii="宋体"/>
      <w:sz w:val="28"/>
    </w:rPr>
  </w:style>
  <w:style w:type="paragraph" w:customStyle="1" w:styleId="26">
    <w:name w:val="MTDisplayEquation"/>
    <w:basedOn w:val="1"/>
    <w:next w:val="1"/>
    <w:qFormat/>
    <w:uiPriority w:val="0"/>
    <w:pPr>
      <w:spacing w:line="360" w:lineRule="auto"/>
      <w:ind w:firstLine="480"/>
    </w:pPr>
  </w:style>
  <w:style w:type="paragraph" w:styleId="27">
    <w:name w:val="Body Text Indent 3"/>
    <w:basedOn w:val="1"/>
    <w:link w:val="58"/>
    <w:qFormat/>
    <w:uiPriority w:val="0"/>
    <w:pPr>
      <w:spacing w:after="120"/>
      <w:ind w:left="420" w:leftChars="200"/>
    </w:pPr>
    <w:rPr>
      <w:rFonts w:cs="Times New Roman"/>
      <w:sz w:val="16"/>
      <w:szCs w:val="16"/>
    </w:rPr>
  </w:style>
  <w:style w:type="paragraph" w:styleId="28">
    <w:name w:val="Body Text 2"/>
    <w:basedOn w:val="1"/>
    <w:link w:val="59"/>
    <w:qFormat/>
    <w:uiPriority w:val="0"/>
    <w:pPr>
      <w:tabs>
        <w:tab w:val="left" w:pos="2295"/>
      </w:tabs>
    </w:pPr>
    <w:rPr>
      <w:rFonts w:cs="Times New Roman"/>
      <w:b/>
      <w:bCs/>
      <w:sz w:val="28"/>
      <w:szCs w:val="24"/>
    </w:rPr>
  </w:style>
  <w:style w:type="paragraph" w:styleId="29">
    <w:name w:val="Normal (Web)"/>
    <w:basedOn w:val="1"/>
    <w:link w:val="60"/>
    <w:qFormat/>
    <w:uiPriority w:val="0"/>
    <w:pPr>
      <w:widowControl/>
      <w:spacing w:before="100" w:beforeAutospacing="1" w:after="100" w:afterAutospacing="1"/>
      <w:jc w:val="left"/>
    </w:pPr>
    <w:rPr>
      <w:rFonts w:ascii="宋体" w:hAnsi="宋体" w:cs="Times New Roman"/>
      <w:kern w:val="0"/>
      <w:szCs w:val="20"/>
    </w:rPr>
  </w:style>
  <w:style w:type="paragraph" w:styleId="30">
    <w:name w:val="Title"/>
    <w:basedOn w:val="1"/>
    <w:next w:val="1"/>
    <w:qFormat/>
    <w:uiPriority w:val="0"/>
    <w:pPr>
      <w:ind w:firstLine="0" w:firstLineChars="0"/>
      <w:jc w:val="left"/>
      <w:outlineLvl w:val="0"/>
    </w:pPr>
    <w:rPr>
      <w:rFonts w:cs="Arial"/>
      <w:b/>
      <w:bCs/>
      <w:sz w:val="32"/>
      <w:szCs w:val="32"/>
    </w:rPr>
  </w:style>
  <w:style w:type="paragraph" w:styleId="31">
    <w:name w:val="annotation subject"/>
    <w:basedOn w:val="9"/>
    <w:next w:val="9"/>
    <w:link w:val="61"/>
    <w:qFormat/>
    <w:uiPriority w:val="0"/>
    <w:rPr>
      <w:b/>
      <w:kern w:val="2"/>
    </w:rPr>
  </w:style>
  <w:style w:type="paragraph" w:styleId="32">
    <w:name w:val="Body Text First Indent"/>
    <w:basedOn w:val="11"/>
    <w:next w:val="1"/>
    <w:qFormat/>
    <w:uiPriority w:val="0"/>
    <w:pPr>
      <w:ind w:firstLine="420" w:firstLineChars="100"/>
    </w:pPr>
  </w:style>
  <w:style w:type="paragraph" w:styleId="33">
    <w:name w:val="Body Text First Indent 2"/>
    <w:basedOn w:val="12"/>
    <w:next w:val="1"/>
    <w:link w:val="62"/>
    <w:qFormat/>
    <w:uiPriority w:val="0"/>
    <w:pPr>
      <w:ind w:firstLine="420"/>
    </w:pPr>
    <w:rPr>
      <w:szCs w:val="24"/>
    </w:rPr>
  </w:style>
  <w:style w:type="table" w:styleId="35">
    <w:name w:val="Table Grid"/>
    <w:basedOn w:val="34"/>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page number"/>
    <w:basedOn w:val="36"/>
    <w:qFormat/>
    <w:uiPriority w:val="0"/>
  </w:style>
  <w:style w:type="character" w:styleId="38">
    <w:name w:val="FollowedHyperlink"/>
    <w:basedOn w:val="36"/>
    <w:semiHidden/>
    <w:unhideWhenUsed/>
    <w:qFormat/>
    <w:uiPriority w:val="99"/>
    <w:rPr>
      <w:color w:val="333333"/>
      <w:u w:val="none"/>
    </w:rPr>
  </w:style>
  <w:style w:type="character" w:styleId="39">
    <w:name w:val="Emphasis"/>
    <w:qFormat/>
    <w:uiPriority w:val="0"/>
    <w:rPr>
      <w:rFonts w:ascii="宋体" w:hAnsi="宋体" w:eastAsia="宋体"/>
      <w:b/>
      <w:iCs/>
      <w:sz w:val="24"/>
    </w:rPr>
  </w:style>
  <w:style w:type="character" w:styleId="40">
    <w:name w:val="Hyperlink"/>
    <w:basedOn w:val="36"/>
    <w:unhideWhenUsed/>
    <w:qFormat/>
    <w:uiPriority w:val="99"/>
    <w:rPr>
      <w:color w:val="0563C1" w:themeColor="hyperlink"/>
      <w:u w:val="single"/>
      <w14:textFill>
        <w14:solidFill>
          <w14:schemeClr w14:val="hlink"/>
        </w14:solidFill>
      </w14:textFill>
    </w:rPr>
  </w:style>
  <w:style w:type="character" w:styleId="41">
    <w:name w:val="annotation reference"/>
    <w:semiHidden/>
    <w:qFormat/>
    <w:uiPriority w:val="0"/>
    <w:rPr>
      <w:sz w:val="21"/>
    </w:rPr>
  </w:style>
  <w:style w:type="paragraph" w:customStyle="1" w:styleId="42">
    <w:name w:val="Default"/>
    <w:basedOn w:val="43"/>
    <w:next w:val="44"/>
    <w:qFormat/>
    <w:uiPriority w:val="0"/>
    <w:pPr>
      <w:autoSpaceDE w:val="0"/>
      <w:autoSpaceDN w:val="0"/>
    </w:pPr>
    <w:rPr>
      <w:rFonts w:hAnsi="Times New Roman" w:cs="Times New Roman"/>
      <w:color w:val="000000"/>
      <w:szCs w:val="24"/>
    </w:rPr>
  </w:style>
  <w:style w:type="paragraph" w:customStyle="1" w:styleId="43">
    <w:name w:val="纯文本1"/>
    <w:basedOn w:val="1"/>
    <w:qFormat/>
    <w:uiPriority w:val="0"/>
    <w:pPr>
      <w:adjustRightInd w:val="0"/>
    </w:pPr>
    <w:rPr>
      <w:rFonts w:hAnsi="Courier New"/>
      <w:szCs w:val="20"/>
    </w:rPr>
  </w:style>
  <w:style w:type="paragraph" w:customStyle="1" w:styleId="44">
    <w:name w:val="Char Char Char Char Char Char1 Char Char Char Char"/>
    <w:basedOn w:val="1"/>
    <w:next w:val="1"/>
    <w:semiHidden/>
    <w:qFormat/>
    <w:uiPriority w:val="0"/>
    <w:pPr>
      <w:spacing w:line="360" w:lineRule="auto"/>
      <w:ind w:firstLine="200"/>
    </w:pPr>
    <w:rPr>
      <w:rFonts w:ascii="宋体" w:hAnsi="宋体" w:eastAsia="华文中宋" w:cs="宋体"/>
      <w:szCs w:val="21"/>
    </w:rPr>
  </w:style>
  <w:style w:type="character" w:customStyle="1" w:styleId="45">
    <w:name w:val="页眉 字符"/>
    <w:basedOn w:val="36"/>
    <w:link w:val="19"/>
    <w:qFormat/>
    <w:uiPriority w:val="0"/>
    <w:rPr>
      <w:sz w:val="18"/>
      <w:szCs w:val="18"/>
    </w:rPr>
  </w:style>
  <w:style w:type="character" w:customStyle="1" w:styleId="46">
    <w:name w:val="页脚 字符"/>
    <w:basedOn w:val="36"/>
    <w:link w:val="18"/>
    <w:qFormat/>
    <w:uiPriority w:val="99"/>
    <w:rPr>
      <w:sz w:val="18"/>
      <w:szCs w:val="18"/>
    </w:rPr>
  </w:style>
  <w:style w:type="character" w:customStyle="1" w:styleId="47">
    <w:name w:val="标题 1 字符"/>
    <w:basedOn w:val="36"/>
    <w:link w:val="3"/>
    <w:qFormat/>
    <w:uiPriority w:val="99"/>
    <w:rPr>
      <w:rFonts w:ascii="Times New Roman" w:hAnsi="Times New Roman" w:eastAsia="宋体" w:cs="Times New Roman"/>
      <w:b/>
      <w:bCs/>
      <w:color w:val="000000"/>
      <w:kern w:val="44"/>
      <w:sz w:val="32"/>
      <w:szCs w:val="30"/>
    </w:rPr>
  </w:style>
  <w:style w:type="character" w:customStyle="1" w:styleId="48">
    <w:name w:val="纯文本 字符"/>
    <w:basedOn w:val="36"/>
    <w:link w:val="14"/>
    <w:qFormat/>
    <w:uiPriority w:val="0"/>
    <w:rPr>
      <w:rFonts w:ascii="宋体" w:hAnsi="Courier New" w:eastAsia="宋体" w:cs="Times New Roman"/>
      <w:kern w:val="0"/>
      <w:sz w:val="20"/>
      <w:szCs w:val="20"/>
    </w:rPr>
  </w:style>
  <w:style w:type="character" w:customStyle="1" w:styleId="49">
    <w:name w:val="正文缩进 字符"/>
    <w:link w:val="2"/>
    <w:qFormat/>
    <w:locked/>
    <w:uiPriority w:val="0"/>
    <w:rPr>
      <w:rFonts w:ascii="Times New Roman" w:hAnsi="Times New Roman" w:eastAsia="宋体" w:cs="Times New Roman"/>
      <w:szCs w:val="24"/>
    </w:rPr>
  </w:style>
  <w:style w:type="character" w:customStyle="1" w:styleId="50">
    <w:name w:val="批注文字 字符"/>
    <w:basedOn w:val="36"/>
    <w:link w:val="9"/>
    <w:semiHidden/>
    <w:qFormat/>
    <w:uiPriority w:val="99"/>
    <w:rPr>
      <w:rFonts w:ascii="Times New Roman" w:hAnsi="Times New Roman" w:eastAsia="宋体" w:cs="Times New Roman"/>
      <w:kern w:val="0"/>
      <w:sz w:val="24"/>
      <w:szCs w:val="20"/>
    </w:rPr>
  </w:style>
  <w:style w:type="character" w:customStyle="1" w:styleId="51">
    <w:name w:val="正文文本 字符"/>
    <w:basedOn w:val="36"/>
    <w:link w:val="11"/>
    <w:qFormat/>
    <w:uiPriority w:val="0"/>
    <w:rPr>
      <w:rFonts w:ascii="Times New Roman" w:hAnsi="Times New Roman" w:eastAsia="宋体" w:cs="Times New Roman"/>
      <w:kern w:val="0"/>
      <w:sz w:val="18"/>
      <w:szCs w:val="20"/>
    </w:rPr>
  </w:style>
  <w:style w:type="character" w:customStyle="1" w:styleId="52">
    <w:name w:val="正文文本缩进 字符"/>
    <w:basedOn w:val="36"/>
    <w:link w:val="12"/>
    <w:qFormat/>
    <w:uiPriority w:val="0"/>
    <w:rPr>
      <w:rFonts w:ascii="Times New Roman" w:hAnsi="Times New Roman" w:eastAsia="宋体" w:cs="Times New Roman"/>
      <w:kern w:val="0"/>
      <w:sz w:val="24"/>
      <w:szCs w:val="20"/>
    </w:rPr>
  </w:style>
  <w:style w:type="character" w:customStyle="1" w:styleId="53">
    <w:name w:val="日期 字符"/>
    <w:basedOn w:val="36"/>
    <w:semiHidden/>
    <w:qFormat/>
    <w:uiPriority w:val="0"/>
  </w:style>
  <w:style w:type="character" w:customStyle="1" w:styleId="54">
    <w:name w:val="日期 字符1"/>
    <w:link w:val="15"/>
    <w:qFormat/>
    <w:locked/>
    <w:uiPriority w:val="0"/>
    <w:rPr>
      <w:rFonts w:ascii="Times New Roman" w:hAnsi="Times New Roman" w:eastAsia="宋体" w:cs="Times New Roman"/>
      <w:kern w:val="0"/>
      <w:sz w:val="24"/>
      <w:szCs w:val="20"/>
    </w:rPr>
  </w:style>
  <w:style w:type="character" w:customStyle="1" w:styleId="55">
    <w:name w:val="正文文本缩进 2 字符"/>
    <w:basedOn w:val="36"/>
    <w:link w:val="16"/>
    <w:qFormat/>
    <w:uiPriority w:val="0"/>
    <w:rPr>
      <w:rFonts w:ascii="Times New Roman" w:hAnsi="Times New Roman" w:eastAsia="宋体" w:cs="Times New Roman"/>
      <w:szCs w:val="24"/>
    </w:rPr>
  </w:style>
  <w:style w:type="character" w:customStyle="1" w:styleId="56">
    <w:name w:val="批注框文本 字符"/>
    <w:basedOn w:val="36"/>
    <w:link w:val="17"/>
    <w:semiHidden/>
    <w:qFormat/>
    <w:uiPriority w:val="0"/>
    <w:rPr>
      <w:rFonts w:ascii="Times New Roman" w:hAnsi="Times New Roman" w:eastAsia="宋体" w:cs="Times New Roman"/>
      <w:kern w:val="0"/>
      <w:sz w:val="18"/>
      <w:szCs w:val="20"/>
    </w:rPr>
  </w:style>
  <w:style w:type="character" w:customStyle="1" w:styleId="57">
    <w:name w:val="页脚 字符1"/>
    <w:qFormat/>
    <w:locked/>
    <w:uiPriority w:val="99"/>
    <w:rPr>
      <w:sz w:val="18"/>
    </w:rPr>
  </w:style>
  <w:style w:type="character" w:customStyle="1" w:styleId="58">
    <w:name w:val="正文文本缩进 3 字符"/>
    <w:basedOn w:val="36"/>
    <w:link w:val="27"/>
    <w:qFormat/>
    <w:uiPriority w:val="0"/>
    <w:rPr>
      <w:rFonts w:ascii="Times New Roman" w:hAnsi="Times New Roman" w:eastAsia="宋体" w:cs="Times New Roman"/>
      <w:sz w:val="16"/>
      <w:szCs w:val="16"/>
    </w:rPr>
  </w:style>
  <w:style w:type="character" w:customStyle="1" w:styleId="59">
    <w:name w:val="正文文本 2 字符"/>
    <w:basedOn w:val="36"/>
    <w:link w:val="28"/>
    <w:qFormat/>
    <w:uiPriority w:val="0"/>
    <w:rPr>
      <w:rFonts w:ascii="Times New Roman" w:hAnsi="Times New Roman" w:eastAsia="宋体" w:cs="Times New Roman"/>
      <w:b/>
      <w:bCs/>
      <w:sz w:val="28"/>
      <w:szCs w:val="24"/>
    </w:rPr>
  </w:style>
  <w:style w:type="character" w:customStyle="1" w:styleId="60">
    <w:name w:val="普通(网站) 字符"/>
    <w:link w:val="29"/>
    <w:qFormat/>
    <w:locked/>
    <w:uiPriority w:val="0"/>
    <w:rPr>
      <w:rFonts w:ascii="宋体" w:hAnsi="宋体" w:eastAsia="宋体" w:cs="Times New Roman"/>
      <w:kern w:val="0"/>
      <w:sz w:val="24"/>
      <w:szCs w:val="20"/>
    </w:rPr>
  </w:style>
  <w:style w:type="character" w:customStyle="1" w:styleId="61">
    <w:name w:val="批注主题 字符"/>
    <w:basedOn w:val="50"/>
    <w:link w:val="31"/>
    <w:semiHidden/>
    <w:qFormat/>
    <w:uiPriority w:val="0"/>
    <w:rPr>
      <w:rFonts w:ascii="Times New Roman" w:hAnsi="Times New Roman" w:eastAsia="宋体" w:cs="Times New Roman"/>
      <w:b/>
      <w:kern w:val="0"/>
      <w:sz w:val="24"/>
      <w:szCs w:val="20"/>
    </w:rPr>
  </w:style>
  <w:style w:type="character" w:customStyle="1" w:styleId="62">
    <w:name w:val="正文文本首行缩进 2 字符"/>
    <w:basedOn w:val="52"/>
    <w:link w:val="33"/>
    <w:qFormat/>
    <w:uiPriority w:val="0"/>
    <w:rPr>
      <w:rFonts w:ascii="Times New Roman" w:hAnsi="Times New Roman" w:eastAsia="宋体" w:cs="Times New Roman"/>
      <w:kern w:val="0"/>
      <w:sz w:val="24"/>
      <w:szCs w:val="24"/>
    </w:rPr>
  </w:style>
  <w:style w:type="character" w:customStyle="1" w:styleId="63">
    <w:name w:val="纯文本 Char3"/>
    <w:qFormat/>
    <w:uiPriority w:val="0"/>
    <w:rPr>
      <w:rFonts w:ascii="宋体" w:hAnsi="Courier New" w:cs="Courier New"/>
      <w:kern w:val="2"/>
      <w:sz w:val="21"/>
      <w:szCs w:val="21"/>
    </w:rPr>
  </w:style>
  <w:style w:type="character" w:customStyle="1" w:styleId="64">
    <w:name w:val="纯文本 Char1"/>
    <w:qFormat/>
    <w:uiPriority w:val="0"/>
    <w:rPr>
      <w:rFonts w:ascii="宋体" w:hAnsi="Courier New" w:cs="Courier New"/>
      <w:kern w:val="2"/>
      <w:sz w:val="21"/>
      <w:szCs w:val="21"/>
    </w:rPr>
  </w:style>
  <w:style w:type="character" w:customStyle="1" w:styleId="65">
    <w:name w:val="批注文字 字符1"/>
    <w:semiHidden/>
    <w:qFormat/>
    <w:uiPriority w:val="0"/>
    <w:rPr>
      <w:rFonts w:ascii="Times New Roman" w:hAnsi="Times New Roman" w:eastAsia="宋体"/>
      <w:sz w:val="24"/>
    </w:rPr>
  </w:style>
  <w:style w:type="character" w:customStyle="1" w:styleId="66">
    <w:name w:val="正文缩进 Char"/>
    <w:qFormat/>
    <w:locked/>
    <w:uiPriority w:val="0"/>
    <w:rPr>
      <w:szCs w:val="24"/>
    </w:rPr>
  </w:style>
  <w:style w:type="character" w:customStyle="1" w:styleId="67">
    <w:name w:val="表格 Char"/>
    <w:link w:val="68"/>
    <w:qFormat/>
    <w:locked/>
    <w:uiPriority w:val="0"/>
    <w:rPr>
      <w:rFonts w:ascii="宋体"/>
    </w:rPr>
  </w:style>
  <w:style w:type="paragraph" w:customStyle="1" w:styleId="68">
    <w:name w:val="表格"/>
    <w:basedOn w:val="1"/>
    <w:next w:val="1"/>
    <w:link w:val="67"/>
    <w:qFormat/>
    <w:uiPriority w:val="0"/>
    <w:pPr>
      <w:adjustRightInd w:val="0"/>
      <w:snapToGrid w:val="0"/>
      <w:spacing w:beforeLines="10" w:afterLines="10" w:line="259" w:lineRule="auto"/>
      <w:jc w:val="center"/>
    </w:pPr>
    <w:rPr>
      <w:rFonts w:ascii="宋体"/>
    </w:rPr>
  </w:style>
  <w:style w:type="character" w:customStyle="1" w:styleId="69">
    <w:name w:val="正文文本 字符1"/>
    <w:semiHidden/>
    <w:qFormat/>
    <w:uiPriority w:val="0"/>
    <w:rPr>
      <w:rFonts w:ascii="Times New Roman" w:hAnsi="Times New Roman" w:eastAsia="宋体"/>
      <w:sz w:val="24"/>
    </w:rPr>
  </w:style>
  <w:style w:type="character" w:customStyle="1" w:styleId="70">
    <w:name w:val="纯文本 字符1"/>
    <w:qFormat/>
    <w:uiPriority w:val="0"/>
    <w:rPr>
      <w:rFonts w:ascii="宋体" w:hAnsi="Courier New" w:cs="Courier New"/>
      <w:kern w:val="2"/>
      <w:sz w:val="21"/>
      <w:szCs w:val="21"/>
    </w:rPr>
  </w:style>
  <w:style w:type="paragraph" w:customStyle="1" w:styleId="71">
    <w:name w:val="Char"/>
    <w:basedOn w:val="1"/>
    <w:qFormat/>
    <w:uiPriority w:val="0"/>
    <w:rPr>
      <w:rFonts w:cs="Times New Roman"/>
      <w:szCs w:val="24"/>
    </w:rPr>
  </w:style>
  <w:style w:type="paragraph" w:customStyle="1" w:styleId="72">
    <w:name w:val="h 表内文"/>
    <w:basedOn w:val="1"/>
    <w:qFormat/>
    <w:uiPriority w:val="0"/>
    <w:pPr>
      <w:tabs>
        <w:tab w:val="left" w:pos="2760"/>
      </w:tabs>
      <w:jc w:val="center"/>
      <w:textAlignment w:val="center"/>
    </w:pPr>
    <w:rPr>
      <w:rFonts w:ascii="华文中宋" w:eastAsia="华文中宋" w:cs="Times New Roman"/>
      <w:snapToGrid w:val="0"/>
      <w:kern w:val="0"/>
      <w:szCs w:val="24"/>
    </w:rPr>
  </w:style>
  <w:style w:type="paragraph" w:customStyle="1" w:styleId="73">
    <w:name w:val="普通(网站)2"/>
    <w:basedOn w:val="1"/>
    <w:qFormat/>
    <w:uiPriority w:val="0"/>
    <w:pPr>
      <w:widowControl/>
      <w:spacing w:before="100" w:beforeAutospacing="1" w:after="100" w:afterAutospacing="1"/>
      <w:jc w:val="left"/>
    </w:pPr>
    <w:rPr>
      <w:rFonts w:ascii="宋体" w:hAnsi="宋体" w:cs="Times New Roman"/>
      <w:szCs w:val="20"/>
    </w:rPr>
  </w:style>
  <w:style w:type="paragraph" w:customStyle="1" w:styleId="74">
    <w:name w:val="样式2"/>
    <w:basedOn w:val="1"/>
    <w:qFormat/>
    <w:uiPriority w:val="0"/>
    <w:pPr>
      <w:spacing w:line="400" w:lineRule="exact"/>
      <w:ind w:firstLine="200"/>
    </w:pPr>
    <w:rPr>
      <w:rFonts w:ascii="Calibri" w:hAnsi="Calibri" w:cs="Calibri"/>
      <w:szCs w:val="24"/>
    </w:rPr>
  </w:style>
  <w:style w:type="paragraph" w:styleId="75">
    <w:name w:val="List Paragraph"/>
    <w:basedOn w:val="1"/>
    <w:qFormat/>
    <w:uiPriority w:val="0"/>
    <w:pPr>
      <w:ind w:firstLine="420"/>
    </w:pPr>
    <w:rPr>
      <w:rFonts w:ascii="Calibri" w:hAnsi="Calibri" w:cs="Times New Roman"/>
    </w:rPr>
  </w:style>
  <w:style w:type="paragraph" w:customStyle="1" w:styleId="76">
    <w:name w:val="Char1"/>
    <w:basedOn w:val="1"/>
    <w:qFormat/>
    <w:uiPriority w:val="0"/>
    <w:rPr>
      <w:rFonts w:cs="Times New Roman"/>
      <w:szCs w:val="24"/>
    </w:rPr>
  </w:style>
  <w:style w:type="paragraph" w:customStyle="1" w:styleId="77">
    <w:name w:val="f 表标题"/>
    <w:basedOn w:val="1"/>
    <w:next w:val="1"/>
    <w:qFormat/>
    <w:uiPriority w:val="0"/>
    <w:pPr>
      <w:tabs>
        <w:tab w:val="left" w:pos="2760"/>
      </w:tabs>
      <w:jc w:val="center"/>
    </w:pPr>
    <w:rPr>
      <w:rFonts w:ascii="华文中宋" w:eastAsia="华文中宋" w:cs="Times New Roman"/>
      <w:b/>
      <w:szCs w:val="24"/>
    </w:rPr>
  </w:style>
  <w:style w:type="paragraph" w:customStyle="1" w:styleId="7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9">
    <w:name w:val="Char Char3 Char Char Char Char"/>
    <w:basedOn w:val="1"/>
    <w:qFormat/>
    <w:uiPriority w:val="0"/>
    <w:rPr>
      <w:rFonts w:cs="Times New Roman"/>
      <w:szCs w:val="24"/>
    </w:rPr>
  </w:style>
  <w:style w:type="paragraph" w:customStyle="1" w:styleId="80">
    <w:name w:val="Table Paragraph"/>
    <w:basedOn w:val="1"/>
    <w:next w:val="81"/>
    <w:qFormat/>
    <w:uiPriority w:val="1"/>
    <w:pPr>
      <w:autoSpaceDE w:val="0"/>
      <w:autoSpaceDN w:val="0"/>
      <w:spacing w:before="169"/>
      <w:ind w:left="37"/>
      <w:jc w:val="left"/>
    </w:pPr>
    <w:rPr>
      <w:rFonts w:ascii="宋体" w:hAnsi="宋体" w:cs="宋体"/>
      <w:kern w:val="0"/>
      <w:sz w:val="22"/>
      <w:lang w:val="zh-CN" w:bidi="zh-CN"/>
    </w:rPr>
  </w:style>
  <w:style w:type="paragraph" w:customStyle="1" w:styleId="81">
    <w:name w:val="Char Char Char Char"/>
    <w:basedOn w:val="1"/>
    <w:next w:val="82"/>
    <w:qFormat/>
    <w:uiPriority w:val="0"/>
    <w:pPr>
      <w:spacing w:line="360" w:lineRule="auto"/>
      <w:ind w:firstLine="200"/>
    </w:pPr>
    <w:rPr>
      <w:rFonts w:ascii="宋体"/>
    </w:rPr>
  </w:style>
  <w:style w:type="paragraph" w:customStyle="1" w:styleId="82">
    <w:name w:val="正文 New New New New New New New New New New New New New New New New New New New New New New New New New"/>
    <w:next w:val="83"/>
    <w:qFormat/>
    <w:uiPriority w:val="0"/>
    <w:pPr>
      <w:widowControl w:val="0"/>
      <w:jc w:val="both"/>
    </w:pPr>
    <w:rPr>
      <w:rFonts w:ascii="Times New Roman" w:hAnsi="Times New Roman" w:eastAsia="宋体" w:cs="Times New Roman"/>
      <w:sz w:val="21"/>
      <w:lang w:val="en-US" w:eastAsia="zh-CN" w:bidi="ar-SA"/>
    </w:rPr>
  </w:style>
  <w:style w:type="paragraph" w:customStyle="1" w:styleId="83">
    <w:name w:val="xl48"/>
    <w:basedOn w:val="1"/>
    <w:next w:val="84"/>
    <w:qFormat/>
    <w:uiPriority w:val="0"/>
    <w:pPr>
      <w:widowControl/>
      <w:spacing w:before="280" w:after="280" w:line="360" w:lineRule="auto"/>
      <w:ind w:firstLine="0"/>
    </w:pPr>
    <w:rPr>
      <w:rFonts w:ascii="宋体"/>
    </w:rPr>
  </w:style>
  <w:style w:type="paragraph" w:customStyle="1" w:styleId="84">
    <w:name w:val="我的标题2"/>
    <w:basedOn w:val="1"/>
    <w:next w:val="22"/>
    <w:qFormat/>
    <w:uiPriority w:val="0"/>
    <w:pPr>
      <w:spacing w:line="300" w:lineRule="exact"/>
      <w:ind w:firstLine="23"/>
    </w:pPr>
    <w:rPr>
      <w:sz w:val="18"/>
    </w:rPr>
  </w:style>
  <w:style w:type="paragraph" w:styleId="85">
    <w:name w:val="No Spacing"/>
    <w:basedOn w:val="1"/>
    <w:qFormat/>
    <w:uiPriority w:val="99"/>
    <w:pPr>
      <w:adjustRightInd w:val="0"/>
      <w:snapToGrid w:val="0"/>
      <w:ind w:firstLine="200"/>
    </w:pPr>
    <w:rPr>
      <w:rFonts w:cs="Times New Roman"/>
      <w:szCs w:val="21"/>
    </w:rPr>
  </w:style>
  <w:style w:type="paragraph" w:customStyle="1" w:styleId="86">
    <w:name w:val="正文1"/>
    <w:basedOn w:val="1"/>
    <w:qFormat/>
    <w:uiPriority w:val="0"/>
    <w:pPr>
      <w:spacing w:line="560" w:lineRule="exact"/>
      <w:ind w:firstLine="200"/>
    </w:pPr>
    <w:rPr>
      <w:rFonts w:ascii="宋体" w:hAnsi="宋体" w:eastAsia="华文中宋" w:cs="宋体"/>
      <w:sz w:val="28"/>
      <w:szCs w:val="28"/>
    </w:rPr>
  </w:style>
  <w:style w:type="paragraph" w:customStyle="1" w:styleId="87">
    <w:name w:val="表文字"/>
    <w:qFormat/>
    <w:uiPriority w:val="0"/>
    <w:pPr>
      <w:spacing w:line="300" w:lineRule="exact"/>
    </w:pPr>
    <w:rPr>
      <w:rFonts w:ascii="Times New Roman" w:hAnsi="Times New Roman" w:eastAsia="宋体" w:cs="Times New Roman"/>
      <w:sz w:val="21"/>
      <w:szCs w:val="21"/>
      <w:lang w:val="en-US" w:eastAsia="zh-CN" w:bidi="ar-SA"/>
    </w:rPr>
  </w:style>
  <w:style w:type="paragraph" w:customStyle="1" w:styleId="88">
    <w:name w:val="List Paragraph1"/>
    <w:basedOn w:val="1"/>
    <w:qFormat/>
    <w:uiPriority w:val="0"/>
    <w:pPr>
      <w:ind w:firstLine="420"/>
    </w:pPr>
    <w:rPr>
      <w:rFonts w:ascii="华文中宋" w:eastAsia="华文中宋" w:cs="Times New Roman"/>
      <w:szCs w:val="24"/>
    </w:rPr>
  </w:style>
  <w:style w:type="paragraph" w:customStyle="1" w:styleId="89">
    <w:name w:val="表格文字"/>
    <w:basedOn w:val="1"/>
    <w:next w:val="1"/>
    <w:qFormat/>
    <w:uiPriority w:val="0"/>
    <w:pPr>
      <w:spacing w:line="240" w:lineRule="atLeast"/>
      <w:jc w:val="center"/>
    </w:pPr>
    <w:rPr>
      <w:rFonts w:cs="Times New Roman"/>
      <w:b/>
      <w:color w:val="FF0000"/>
      <w:szCs w:val="21"/>
    </w:rPr>
  </w:style>
  <w:style w:type="paragraph" w:customStyle="1" w:styleId="90">
    <w:name w:val="26磅正文"/>
    <w:basedOn w:val="1"/>
    <w:qFormat/>
    <w:uiPriority w:val="0"/>
    <w:pPr>
      <w:spacing w:line="520" w:lineRule="exact"/>
      <w:ind w:firstLine="480"/>
    </w:pPr>
    <w:rPr>
      <w:rFonts w:hint="eastAsia" w:ascii="宋体" w:hAnsi="宋体" w:cs="Times New Roman"/>
      <w:color w:val="000000"/>
      <w:szCs w:val="24"/>
    </w:rPr>
  </w:style>
  <w:style w:type="paragraph" w:customStyle="1" w:styleId="91">
    <w:name w:val="Char Char Char Char1"/>
    <w:basedOn w:val="1"/>
    <w:qFormat/>
    <w:uiPriority w:val="0"/>
    <w:rPr>
      <w:rFonts w:cs="Times New Roman"/>
      <w:szCs w:val="24"/>
    </w:rPr>
  </w:style>
  <w:style w:type="paragraph" w:customStyle="1" w:styleId="92">
    <w:name w:val="图表标题"/>
    <w:qFormat/>
    <w:uiPriority w:val="99"/>
    <w:pPr>
      <w:snapToGrid w:val="0"/>
      <w:spacing w:beforeLines="30" w:afterLines="30" w:line="400" w:lineRule="exact"/>
      <w:jc w:val="center"/>
    </w:pPr>
    <w:rPr>
      <w:rFonts w:ascii="黑体" w:hAnsi="Times New Roman" w:eastAsia="黑体" w:cs="Times New Roman"/>
      <w:bCs/>
      <w:color w:val="000000"/>
      <w:kern w:val="2"/>
      <w:sz w:val="24"/>
      <w:szCs w:val="24"/>
      <w:lang w:val="en-US" w:eastAsia="zh-CN" w:bidi="ar-SA"/>
    </w:rPr>
  </w:style>
  <w:style w:type="paragraph" w:customStyle="1" w:styleId="93">
    <w:name w:val="样式 表中文字 + 两端对齐"/>
    <w:basedOn w:val="1"/>
    <w:qFormat/>
    <w:uiPriority w:val="0"/>
    <w:pPr>
      <w:spacing w:line="260" w:lineRule="exact"/>
      <w:jc w:val="center"/>
    </w:pPr>
    <w:rPr>
      <w:rFonts w:ascii="宋体" w:hAnsi="宋体" w:cs="Times New Roman"/>
      <w:sz w:val="18"/>
      <w:szCs w:val="18"/>
    </w:rPr>
  </w:style>
  <w:style w:type="paragraph" w:customStyle="1" w:styleId="94">
    <w:name w:val="6表内文字 居中"/>
    <w:basedOn w:val="1"/>
    <w:qFormat/>
    <w:uiPriority w:val="0"/>
    <w:pPr>
      <w:adjustRightInd w:val="0"/>
      <w:spacing w:line="400" w:lineRule="exact"/>
      <w:jc w:val="center"/>
      <w:textAlignment w:val="baseline"/>
    </w:pPr>
    <w:rPr>
      <w:rFonts w:hAnsi="Calibri" w:cs="Times New Roman"/>
      <w:snapToGrid w:val="0"/>
      <w:kern w:val="0"/>
      <w:szCs w:val="24"/>
    </w:rPr>
  </w:style>
  <w:style w:type="paragraph" w:customStyle="1" w:styleId="95">
    <w:name w:val="WPSOffice手动目录 1"/>
    <w:qFormat/>
    <w:uiPriority w:val="0"/>
    <w:rPr>
      <w:rFonts w:ascii="Times New Roman" w:hAnsi="Times New Roman" w:eastAsia="宋体" w:cs="Times New Roman"/>
      <w:lang w:val="en-US" w:eastAsia="zh-CN" w:bidi="ar-SA"/>
    </w:rPr>
  </w:style>
  <w:style w:type="paragraph" w:customStyle="1" w:styleId="96">
    <w:name w:val="正文 New New New New New"/>
    <w:qFormat/>
    <w:uiPriority w:val="0"/>
    <w:pPr>
      <w:widowControl w:val="0"/>
      <w:jc w:val="both"/>
    </w:pPr>
    <w:rPr>
      <w:rFonts w:ascii="Calibri" w:hAnsi="Calibri" w:eastAsia="宋体" w:cs="Times New Roman"/>
      <w:kern w:val="2"/>
      <w:sz w:val="21"/>
      <w:szCs w:val="24"/>
      <w:lang w:val="en-US" w:eastAsia="zh-CN" w:bidi="ar-SA"/>
    </w:rPr>
  </w:style>
  <w:style w:type="character" w:customStyle="1" w:styleId="97">
    <w:name w:val="正文文本 3 字符"/>
    <w:basedOn w:val="36"/>
    <w:link w:val="10"/>
    <w:semiHidden/>
    <w:qFormat/>
    <w:uiPriority w:val="99"/>
    <w:rPr>
      <w:sz w:val="16"/>
      <w:szCs w:val="16"/>
    </w:rPr>
  </w:style>
  <w:style w:type="paragraph" w:customStyle="1" w:styleId="98">
    <w:name w:val="表格文字 单倍"/>
    <w:basedOn w:val="1"/>
    <w:qFormat/>
    <w:uiPriority w:val="0"/>
    <w:pPr>
      <w:spacing w:line="280" w:lineRule="exact"/>
      <w:jc w:val="center"/>
    </w:pPr>
    <w:rPr>
      <w:rFonts w:ascii="宋体" w:hAnsi="宋体"/>
      <w:bCs/>
      <w:color w:val="000000"/>
      <w:szCs w:val="21"/>
    </w:rPr>
  </w:style>
  <w:style w:type="paragraph" w:customStyle="1" w:styleId="99">
    <w:name w:val="111000修改"/>
    <w:basedOn w:val="100"/>
    <w:qFormat/>
    <w:uiPriority w:val="0"/>
    <w:pPr>
      <w:spacing w:beforeLines="0" w:afterLines="0" w:line="490" w:lineRule="exact"/>
      <w:ind w:firstLine="480"/>
    </w:pPr>
    <w:rPr>
      <w:color w:val="auto"/>
    </w:rPr>
  </w:style>
  <w:style w:type="paragraph" w:customStyle="1" w:styleId="100">
    <w:name w:val="正文标准段落"/>
    <w:basedOn w:val="1"/>
    <w:qFormat/>
    <w:uiPriority w:val="99"/>
    <w:pPr>
      <w:spacing w:beforeLines="50" w:afterLines="50" w:line="360" w:lineRule="auto"/>
    </w:pPr>
    <w:rPr>
      <w:rFonts w:ascii="宋体" w:hAnsi="宋体"/>
      <w:color w:val="2F5496"/>
      <w:szCs w:val="24"/>
    </w:rPr>
  </w:style>
  <w:style w:type="paragraph" w:customStyle="1" w:styleId="101">
    <w:name w:val="表内容"/>
    <w:basedOn w:val="14"/>
    <w:qFormat/>
    <w:uiPriority w:val="0"/>
    <w:pPr>
      <w:ind w:firstLine="0" w:firstLineChars="0"/>
      <w:jc w:val="center"/>
    </w:pPr>
    <w:rPr>
      <w:rFonts w:ascii="Times New Roman" w:hAnsiTheme="minorEastAsia" w:eastAsiaTheme="minorEastAsia"/>
      <w:sz w:val="21"/>
      <w:szCs w:val="21"/>
    </w:rPr>
  </w:style>
  <w:style w:type="paragraph" w:customStyle="1" w:styleId="102">
    <w:name w:val="威顿报告正文"/>
    <w:basedOn w:val="1"/>
    <w:qFormat/>
    <w:uiPriority w:val="0"/>
    <w:pPr>
      <w:adjustRightInd w:val="0"/>
      <w:snapToGrid w:val="0"/>
      <w:spacing w:beforeLines="25" w:line="440" w:lineRule="exact"/>
      <w:ind w:firstLine="200"/>
    </w:pPr>
    <w:rPr>
      <w:rFonts w:ascii="Calibri" w:hAnsi="Calibri" w:cs="Times New Roman"/>
      <w:color w:val="000000"/>
    </w:rPr>
  </w:style>
  <w:style w:type="paragraph" w:customStyle="1" w:styleId="103">
    <w:name w:val="Char Char Char Char Char Char Char1"/>
    <w:basedOn w:val="1"/>
    <w:qFormat/>
    <w:uiPriority w:val="0"/>
    <w:pPr>
      <w:snapToGrid w:val="0"/>
      <w:spacing w:line="360" w:lineRule="auto"/>
      <w:ind w:firstLine="529"/>
    </w:pPr>
    <w:rPr>
      <w:rFonts w:ascii="宋体" w:hAnsi="宋体"/>
      <w:b/>
    </w:rPr>
  </w:style>
  <w:style w:type="paragraph" w:customStyle="1" w:styleId="104">
    <w:name w:val="报告正文"/>
    <w:basedOn w:val="16"/>
    <w:qFormat/>
    <w:uiPriority w:val="0"/>
    <w:pPr>
      <w:spacing w:line="420" w:lineRule="exact"/>
      <w:ind w:firstLine="200"/>
    </w:pPr>
    <w:rPr>
      <w:rFonts w:ascii="宋体" w:hAnsi="宋体" w:cs="宋体"/>
      <w:szCs w:val="20"/>
    </w:rPr>
  </w:style>
  <w:style w:type="character" w:customStyle="1" w:styleId="105">
    <w:name w:val="表格内容"/>
    <w:qFormat/>
    <w:uiPriority w:val="0"/>
    <w:rPr>
      <w:rFonts w:ascii="等线" w:hAnsi="等线" w:eastAsia="宋体" w:cs="Times New Roman"/>
      <w:bCs/>
      <w:color w:val="000000"/>
      <w:kern w:val="32"/>
      <w:szCs w:val="21"/>
    </w:rPr>
  </w:style>
  <w:style w:type="paragraph" w:customStyle="1" w:styleId="106">
    <w:name w:val="特殊表格格式-小字体"/>
    <w:basedOn w:val="1"/>
    <w:qFormat/>
    <w:uiPriority w:val="0"/>
    <w:pPr>
      <w:widowControl/>
      <w:topLinePunct/>
      <w:adjustRightInd w:val="0"/>
      <w:snapToGrid w:val="0"/>
      <w:spacing w:line="240" w:lineRule="exact"/>
      <w:jc w:val="center"/>
    </w:pPr>
    <w:rPr>
      <w:rFonts w:ascii="Calibri" w:hAnsi="Calibri"/>
      <w:snapToGrid w:val="0"/>
      <w:w w:val="80"/>
      <w:kern w:val="0"/>
      <w:sz w:val="15"/>
      <w:szCs w:val="15"/>
    </w:rPr>
  </w:style>
  <w:style w:type="paragraph" w:customStyle="1" w:styleId="107">
    <w:name w:val="正文01"/>
    <w:basedOn w:val="1"/>
    <w:qFormat/>
    <w:uiPriority w:val="0"/>
    <w:pPr>
      <w:spacing w:before="60" w:line="460" w:lineRule="exact"/>
      <w:ind w:firstLine="200"/>
    </w:pPr>
    <w:rPr>
      <w:rFonts w:ascii="Arial" w:hAnsi="Arial"/>
      <w:kern w:val="0"/>
    </w:rPr>
  </w:style>
  <w:style w:type="paragraph" w:customStyle="1" w:styleId="108">
    <w:name w:val="宋小4+25"/>
    <w:basedOn w:val="1"/>
    <w:qFormat/>
    <w:uiPriority w:val="0"/>
    <w:pPr>
      <w:adjustRightInd w:val="0"/>
      <w:snapToGrid w:val="0"/>
      <w:spacing w:line="500" w:lineRule="exact"/>
      <w:ind w:firstLine="200"/>
      <w:jc w:val="left"/>
    </w:pPr>
  </w:style>
  <w:style w:type="paragraph" w:customStyle="1" w:styleId="109">
    <w:name w:val="默认段落字体 Para Char"/>
    <w:basedOn w:val="1"/>
    <w:next w:val="1"/>
    <w:qFormat/>
    <w:uiPriority w:val="0"/>
    <w:pPr>
      <w:spacing w:line="360" w:lineRule="auto"/>
      <w:ind w:firstLine="200"/>
    </w:pPr>
    <w:rPr>
      <w:rFonts w:ascii="宋体" w:hAnsi="宋体" w:cs="宋体"/>
    </w:rPr>
  </w:style>
  <w:style w:type="table" w:customStyle="1" w:styleId="110">
    <w:name w:val="Table Normal"/>
    <w:semiHidden/>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paragraph" w:customStyle="1" w:styleId="111">
    <w:name w:val="王正文28磅"/>
    <w:basedOn w:val="1"/>
    <w:qFormat/>
    <w:uiPriority w:val="0"/>
    <w:pPr>
      <w:widowControl/>
      <w:adjustRightInd w:val="0"/>
      <w:snapToGrid w:val="0"/>
      <w:spacing w:line="560" w:lineRule="exact"/>
      <w:ind w:firstLine="480"/>
      <w:jc w:val="left"/>
    </w:pPr>
    <w:rPr>
      <w:kern w:val="44"/>
    </w:rPr>
  </w:style>
  <w:style w:type="paragraph" w:customStyle="1" w:styleId="112">
    <w:name w:val="正文 + 小四"/>
    <w:basedOn w:val="1"/>
    <w:qFormat/>
    <w:uiPriority w:val="0"/>
    <w:pPr>
      <w:spacing w:line="400" w:lineRule="exact"/>
    </w:pPr>
    <w:rPr>
      <w:color w:val="000000"/>
      <w:szCs w:val="21"/>
    </w:rPr>
  </w:style>
  <w:style w:type="paragraph" w:customStyle="1" w:styleId="113">
    <w:name w:val="环评正文1"/>
    <w:basedOn w:val="1"/>
    <w:qFormat/>
    <w:uiPriority w:val="0"/>
    <w:pPr>
      <w:spacing w:line="440" w:lineRule="exact"/>
      <w:ind w:firstLine="560"/>
    </w:pPr>
    <w:rPr>
      <w:rFonts w:ascii="仿宋_GB2312" w:hAnsi="宋体" w:eastAsia="仿宋_GB2312"/>
      <w:sz w:val="28"/>
    </w:rPr>
  </w:style>
  <w:style w:type="paragraph" w:customStyle="1" w:styleId="114">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115">
    <w:name w:val="目录格式"/>
    <w:basedOn w:val="1"/>
    <w:qFormat/>
    <w:uiPriority w:val="0"/>
    <w:pPr>
      <w:spacing w:line="360" w:lineRule="auto"/>
      <w:ind w:firstLine="480"/>
    </w:pPr>
    <w:rPr>
      <w:rFonts w:eastAsia="楷体" w:cs="Times New Roman"/>
      <w:kern w:val="0"/>
      <w:szCs w:val="20"/>
    </w:rPr>
  </w:style>
  <w:style w:type="character" w:customStyle="1" w:styleId="116">
    <w:name w:val="font21"/>
    <w:basedOn w:val="36"/>
    <w:qFormat/>
    <w:uiPriority w:val="0"/>
    <w:rPr>
      <w:rFonts w:hint="default" w:ascii="Times New Roman" w:hAnsi="Times New Roman" w:cs="Times New Roman"/>
      <w:b/>
      <w:bCs/>
      <w:color w:val="000000"/>
      <w:sz w:val="18"/>
      <w:szCs w:val="18"/>
      <w:u w:val="none"/>
    </w:rPr>
  </w:style>
  <w:style w:type="character" w:customStyle="1" w:styleId="117">
    <w:name w:val="font11"/>
    <w:basedOn w:val="36"/>
    <w:qFormat/>
    <w:uiPriority w:val="0"/>
    <w:rPr>
      <w:rFonts w:hint="eastAsia" w:ascii="宋体" w:hAnsi="宋体" w:eastAsia="宋体" w:cs="宋体"/>
      <w:b/>
      <w:bCs/>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6" Type="http://schemas.openxmlformats.org/officeDocument/2006/relationships/fontTable" Target="fontTable.xml"/><Relationship Id="rId75" Type="http://schemas.openxmlformats.org/officeDocument/2006/relationships/customXml" Target="../customXml/item2.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jpeg"/><Relationship Id="rId7" Type="http://schemas.openxmlformats.org/officeDocument/2006/relationships/header" Target="header3.xml"/><Relationship Id="rId69" Type="http://schemas.openxmlformats.org/officeDocument/2006/relationships/image" Target="media/image52.jpeg"/><Relationship Id="rId68" Type="http://schemas.openxmlformats.org/officeDocument/2006/relationships/image" Target="media/image51.jpe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header" Target="header2.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header" Target="header1.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emf"/><Relationship Id="rId28" Type="http://schemas.openxmlformats.org/officeDocument/2006/relationships/package" Target="embeddings/Microsoft_Visio___3.vsdx"/><Relationship Id="rId27" Type="http://schemas.openxmlformats.org/officeDocument/2006/relationships/image" Target="media/image11.emf"/><Relationship Id="rId26" Type="http://schemas.openxmlformats.org/officeDocument/2006/relationships/package" Target="embeddings/Microsoft_Visio___2.vsdx"/><Relationship Id="rId25" Type="http://schemas.openxmlformats.org/officeDocument/2006/relationships/image" Target="media/image10.emf"/><Relationship Id="rId24" Type="http://schemas.openxmlformats.org/officeDocument/2006/relationships/package" Target="embeddings/Microsoft_Visio___1.vsdx"/><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A7591B-7CE5-49D8-9A88-D8F4BA9ACC75}">
  <ds:schemaRefs/>
</ds:datastoreItem>
</file>

<file path=docProps/app.xml><?xml version="1.0" encoding="utf-8"?>
<Properties xmlns="http://schemas.openxmlformats.org/officeDocument/2006/extended-properties" xmlns:vt="http://schemas.openxmlformats.org/officeDocument/2006/docPropsVTypes">
  <Template>Normal.dotm</Template>
  <Pages>99</Pages>
  <Words>37479</Words>
  <Characters>41962</Characters>
  <Lines>317</Lines>
  <Paragraphs>89</Paragraphs>
  <TotalTime>2</TotalTime>
  <ScaleCrop>false</ScaleCrop>
  <LinksUpToDate>false</LinksUpToDate>
  <CharactersWithSpaces>42181</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2021-05-07T14:33:00Z</dcterms:created>
  <dc:creator>1 2</dc:creator>
  <cp:lastModifiedBy>WPS_1591327913</cp:lastModifiedBy>
  <cp:lastPrinted>2021-05-10T16:10:00Z</cp:lastPrinted>
  <dcterms:modified xsi:type="dcterms:W3CDTF">2023-01-06T07:49:43Z</dcterms:modified>
  <dc:title>参考</dc:title>
  <cp:revision>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4E6EA498832447108C62899DD2D63586</vt:lpwstr>
  </property>
</Properties>
</file>