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D" w:rsidRDefault="00B97016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尧都区财政局</w:t>
      </w:r>
    </w:p>
    <w:p w:rsidR="00046DED" w:rsidRDefault="00B97016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年度政府信息公开工作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年度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报告</w:t>
      </w:r>
    </w:p>
    <w:p w:rsidR="00046DED" w:rsidRDefault="00046DED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</w:p>
    <w:p w:rsidR="00046DED" w:rsidRDefault="00B97016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一、总体情况</w:t>
      </w:r>
    </w:p>
    <w:p w:rsidR="00046DED" w:rsidRDefault="00B9701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  <w:lang w:val="zh-CN"/>
        </w:rPr>
      </w:pPr>
      <w:r>
        <w:rPr>
          <w:rFonts w:ascii="Times New Roman" w:eastAsia="楷体_GB2312" w:hAnsi="Times New Roman"/>
          <w:b/>
          <w:bCs/>
          <w:sz w:val="32"/>
          <w:szCs w:val="32"/>
          <w:lang w:val="zh-CN"/>
        </w:rPr>
        <w:t>（</w:t>
      </w:r>
      <w:r>
        <w:rPr>
          <w:rFonts w:ascii="Times New Roman" w:eastAsia="楷体_GB2312" w:hAnsi="Times New Roman"/>
          <w:b/>
          <w:bCs/>
          <w:sz w:val="32"/>
          <w:szCs w:val="32"/>
        </w:rPr>
        <w:t>一</w:t>
      </w:r>
      <w:r>
        <w:rPr>
          <w:rFonts w:ascii="Times New Roman" w:eastAsia="楷体_GB2312" w:hAnsi="Times New Roman"/>
          <w:b/>
          <w:bCs/>
          <w:sz w:val="32"/>
          <w:szCs w:val="32"/>
          <w:lang w:val="zh-CN"/>
        </w:rPr>
        <w:t>）政务公开基础工作</w:t>
      </w:r>
    </w:p>
    <w:p w:rsidR="00046DED" w:rsidRDefault="00B9701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年，我局履行相关审批程序及时在区政府门户网站进行财政预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决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算公开信息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条；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本单位预决算公开信息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条；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行业公告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条；严格按照程序办理人大代表建议议案提案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条，并严格有关规定依法进行答复；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年全年未收到因依申请公开答复不当造成的行政复议。</w:t>
      </w:r>
    </w:p>
    <w:p w:rsidR="00046DED" w:rsidRDefault="00B97016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  <w:lang w:val="zh-CN"/>
        </w:rPr>
      </w:pPr>
      <w:r>
        <w:rPr>
          <w:rFonts w:ascii="Times New Roman" w:eastAsia="楷体_GB2312" w:hAnsi="Times New Roman"/>
          <w:b/>
          <w:bCs/>
          <w:sz w:val="32"/>
          <w:szCs w:val="32"/>
          <w:lang w:val="zh-CN"/>
        </w:rPr>
        <w:t>（</w:t>
      </w:r>
      <w:r>
        <w:rPr>
          <w:rFonts w:ascii="Times New Roman" w:eastAsia="楷体_GB2312" w:hAnsi="Times New Roman"/>
          <w:b/>
          <w:bCs/>
          <w:sz w:val="32"/>
          <w:szCs w:val="32"/>
        </w:rPr>
        <w:t>二</w:t>
      </w:r>
      <w:r>
        <w:rPr>
          <w:rFonts w:ascii="Times New Roman" w:eastAsia="楷体_GB2312" w:hAnsi="Times New Roman"/>
          <w:b/>
          <w:bCs/>
          <w:sz w:val="32"/>
          <w:szCs w:val="32"/>
          <w:lang w:val="zh-CN"/>
        </w:rPr>
        <w:t>）财政信息公开工作</w:t>
      </w:r>
      <w:bookmarkStart w:id="0" w:name="_GoBack"/>
      <w:bookmarkEnd w:id="0"/>
    </w:p>
    <w:p w:rsidR="00046DED" w:rsidRDefault="00B9701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/>
          <w:sz w:val="32"/>
          <w:szCs w:val="32"/>
          <w:lang w:val="zh-CN"/>
        </w:rPr>
        <w:t>为增强预算透明度，按照中央、省、市要求，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年，各部门继续执行财政预决算、部门预决算、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三公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经费预决算信息公开工作。为此我局印发《尧都区财政局关于编制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年部门预算和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2022—2024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年中期财政规划的通知》，要求</w:t>
      </w:r>
      <w:r>
        <w:rPr>
          <w:rFonts w:ascii="Times New Roman" w:eastAsia="仿宋_GB2312" w:hAnsi="Times New Roman" w:cs="Times New Roman"/>
          <w:sz w:val="32"/>
          <w:szCs w:val="32"/>
        </w:rPr>
        <w:t>各部门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要在预算批复后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日内，积极稳妥地推进预算信息公开工作，强化部门的主体责任意识，提高部门预算公开的主动性和积极性，以公开为常态，不公开为例外，依法依规公开预算信息。除涉及国家秘密的信息外，不得少公开、不公开应当公开的事项，确保公开情况全面、真实、完整。同时，在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9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月，开展了对全区所有预算单位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2020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年度决算和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2021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年度预算的公开工作的检查，检查重点关注预决算公开的及时性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t>、完整性、公开方式、细化程度、真实</w:t>
      </w:r>
      <w:r>
        <w:rPr>
          <w:rFonts w:ascii="Times New Roman" w:eastAsia="仿宋_GB2312" w:hAnsi="Times New Roman" w:cs="Times New Roman"/>
          <w:sz w:val="32"/>
          <w:szCs w:val="32"/>
          <w:lang w:val="zh-CN"/>
        </w:rPr>
        <w:lastRenderedPageBreak/>
        <w:t>性等方面。确保了我区财政信息公开真实、准确、完整。政府债务信息也按要求在尧都区政府门户网站按规定予以公开。</w:t>
      </w:r>
    </w:p>
    <w:p w:rsidR="00046DED" w:rsidRDefault="00B97016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046DE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046DE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046DE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046DE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46DED" w:rsidRDefault="00B97016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046DED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46DE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46DE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6DE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46DE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46DE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6DED" w:rsidRDefault="00B9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046DED" w:rsidRDefault="00046DED">
      <w:pPr>
        <w:widowControl/>
        <w:shd w:val="clear" w:color="auto" w:fill="FFFFFF"/>
        <w:spacing w:line="600" w:lineRule="exact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</w:p>
    <w:p w:rsidR="00046DED" w:rsidRDefault="00B97016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46DE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46DE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46D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ED" w:rsidRDefault="00046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46DE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D" w:rsidRDefault="00B9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046DED" w:rsidRDefault="00B97016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五、存在的主要问题及改进情况</w:t>
      </w:r>
    </w:p>
    <w:p w:rsidR="00046DED" w:rsidRDefault="00B970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（一）存在问题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目前存在重视程度不高，</w:t>
      </w:r>
      <w:r>
        <w:rPr>
          <w:rFonts w:ascii="Times New Roman" w:eastAsia="仿宋_GB2312" w:hAnsi="Times New Roman" w:cs="Times New Roman"/>
          <w:sz w:val="32"/>
          <w:szCs w:val="32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</w:rPr>
        <w:t>时效需进一步提高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公开信息内容简单等问题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46DED" w:rsidRDefault="00B970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（二）改进措施。一是切实提高认识，加强《政府信息公开条例》的学习。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提高，领导干部“阳光意识”，转变思想观念，</w:t>
      </w:r>
      <w:r>
        <w:rPr>
          <w:rFonts w:ascii="Times New Roman" w:eastAsia="仿宋_GB2312" w:hAnsi="Times New Roman" w:cs="Times New Roman"/>
          <w:sz w:val="32"/>
          <w:szCs w:val="32"/>
        </w:rPr>
        <w:t>始终将政府信息公开作为本局的工作重要内容，认真抓好落实，进一步提高干部职工的思想认识，不断增强做好政府信息公开工作的责任感和使命感。二是丰富公开内容。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以公开为原则，不公开为例外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的总体要求，进一步做好公开工作。按照《政府信息公开条例》等法规、规章、制度的规定，及时公开政府信息，公开内容做到真实、具体、全面。</w:t>
      </w:r>
    </w:p>
    <w:p w:rsidR="00046DED" w:rsidRDefault="00B97016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六、其他需要报告的事项</w:t>
      </w:r>
    </w:p>
    <w:p w:rsidR="00046DED" w:rsidRDefault="00B97016" w:rsidP="00B97016">
      <w:pPr>
        <w:spacing w:line="520" w:lineRule="exact"/>
        <w:ind w:firstLineChars="200" w:firstLine="64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本年度无其他需要报告的事项。</w:t>
      </w:r>
    </w:p>
    <w:sectPr w:rsidR="00046DED" w:rsidSect="00046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48C5C5A"/>
    <w:rsid w:val="00046DED"/>
    <w:rsid w:val="00B97016"/>
    <w:rsid w:val="02472310"/>
    <w:rsid w:val="048C5C5A"/>
    <w:rsid w:val="51B81A42"/>
    <w:rsid w:val="58A8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DE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2023-01-10T02:16:00Z</dcterms:created>
  <dcterms:modified xsi:type="dcterms:W3CDTF">2023-01-10T07:57:00Z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