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333333"/>
          <w:kern w:val="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333333"/>
          <w:kern w:val="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333333"/>
          <w:kern w:val="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333333"/>
          <w:kern w:val="0"/>
          <w:sz w:val="44"/>
          <w:szCs w:val="44"/>
          <w:highlight w:val="none"/>
          <w:lang w:val="en-US" w:eastAsia="zh-CN"/>
        </w:rPr>
      </w:pP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333333"/>
          <w:kern w:val="0"/>
          <w:sz w:val="44"/>
          <w:szCs w:val="44"/>
          <w:highlight w:val="none"/>
          <w:lang w:val="en-US" w:eastAsia="zh-CN"/>
        </w:rPr>
      </w:pPr>
      <w:r>
        <w:rPr>
          <w:rFonts w:hint="default" w:ascii="Times New Roman" w:hAnsi="Times New Roman" w:eastAsia="方正小标宋简体" w:cs="Times New Roman"/>
          <w:b w:val="0"/>
          <w:bCs w:val="0"/>
          <w:color w:val="333333"/>
          <w:kern w:val="0"/>
          <w:sz w:val="44"/>
          <w:szCs w:val="44"/>
          <w:highlight w:val="none"/>
          <w:lang w:val="en-US" w:eastAsia="zh-CN"/>
        </w:rPr>
        <w:t>尧都区发展和改革局</w:t>
      </w:r>
    </w:p>
    <w:p>
      <w:pPr>
        <w:keepNext w:val="0"/>
        <w:keepLines w:val="0"/>
        <w:pageBreakBefore w:val="0"/>
        <w:widowControl/>
        <w:shd w:val="clear" w:color="auto" w:fill="FFFFFF"/>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b w:val="0"/>
          <w:bCs w:val="0"/>
          <w:color w:val="333333"/>
          <w:kern w:val="0"/>
          <w:sz w:val="44"/>
          <w:szCs w:val="44"/>
          <w:highlight w:val="none"/>
          <w:lang w:val="en-US" w:eastAsia="zh-CN"/>
        </w:rPr>
      </w:pPr>
      <w:r>
        <w:rPr>
          <w:rFonts w:hint="default" w:ascii="Times New Roman" w:hAnsi="Times New Roman" w:eastAsia="方正小标宋简体" w:cs="Times New Roman"/>
          <w:b w:val="0"/>
          <w:bCs w:val="0"/>
          <w:color w:val="333333"/>
          <w:kern w:val="0"/>
          <w:sz w:val="44"/>
          <w:szCs w:val="44"/>
          <w:highlight w:val="none"/>
          <w:lang w:val="en-US" w:eastAsia="zh-CN"/>
        </w:rPr>
        <w:t>2023</w:t>
      </w:r>
      <w:r>
        <w:rPr>
          <w:rFonts w:hint="default" w:ascii="Times New Roman" w:hAnsi="Times New Roman" w:eastAsia="方正小标宋简体" w:cs="Times New Roman"/>
          <w:b w:val="0"/>
          <w:bCs w:val="0"/>
          <w:color w:val="333333"/>
          <w:kern w:val="0"/>
          <w:sz w:val="44"/>
          <w:szCs w:val="44"/>
          <w:highlight w:val="none"/>
        </w:rPr>
        <w:t>年政府信息公开</w:t>
      </w:r>
      <w:r>
        <w:rPr>
          <w:rFonts w:hint="default" w:ascii="Times New Roman" w:hAnsi="Times New Roman" w:eastAsia="方正小标宋简体" w:cs="Times New Roman"/>
          <w:b w:val="0"/>
          <w:bCs w:val="0"/>
          <w:color w:val="333333"/>
          <w:kern w:val="0"/>
          <w:sz w:val="44"/>
          <w:szCs w:val="44"/>
          <w:highlight w:val="none"/>
          <w:lang w:val="en-US" w:eastAsia="zh-CN"/>
        </w:rPr>
        <w:t>年报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黑体" w:cs="Times New Roman"/>
          <w:b/>
          <w:bCs/>
          <w:color w:val="333333"/>
          <w:kern w:val="0"/>
          <w:sz w:val="32"/>
          <w:szCs w:val="32"/>
          <w:highlight w:val="none"/>
          <w:lang w:val="en-US" w:eastAsia="zh-CN"/>
        </w:rPr>
      </w:pPr>
    </w:p>
    <w:p>
      <w:pPr>
        <w:keepNext w:val="0"/>
        <w:keepLines w:val="0"/>
        <w:pageBreakBefore w:val="0"/>
        <w:widowControl/>
        <w:shd w:val="clear" w:color="auto" w:fill="FFFFFF"/>
        <w:kinsoku/>
        <w:wordWrap/>
        <w:overflowPunct/>
        <w:topLinePunct w:val="0"/>
        <w:autoSpaceDE/>
        <w:autoSpaceDN/>
        <w:bidi w:val="0"/>
        <w:spacing w:line="600" w:lineRule="exact"/>
        <w:ind w:firstLine="640" w:firstLineChars="200"/>
        <w:textAlignment w:val="auto"/>
        <w:rPr>
          <w:rFonts w:hint="default" w:ascii="Times New Roman" w:hAnsi="Times New Roman" w:eastAsia="宋体" w:cs="Times New Roman"/>
          <w:b w:val="0"/>
          <w:bCs w:val="0"/>
          <w:color w:val="333333"/>
          <w:kern w:val="0"/>
          <w:sz w:val="32"/>
          <w:szCs w:val="32"/>
          <w:highlight w:val="none"/>
        </w:rPr>
      </w:pPr>
      <w:r>
        <w:rPr>
          <w:rFonts w:hint="default" w:ascii="Times New Roman" w:hAnsi="Times New Roman" w:eastAsia="黑体" w:cs="Times New Roman"/>
          <w:b w:val="0"/>
          <w:bCs w:val="0"/>
          <w:color w:val="333333"/>
          <w:kern w:val="0"/>
          <w:sz w:val="32"/>
          <w:szCs w:val="32"/>
          <w:highlight w:val="none"/>
        </w:rPr>
        <w:t>一、总体情况</w:t>
      </w:r>
    </w:p>
    <w:p>
      <w:pPr>
        <w:keepNext w:val="0"/>
        <w:keepLines w:val="0"/>
        <w:pageBreakBefore w:val="0"/>
        <w:numPr>
          <w:ilvl w:val="0"/>
          <w:numId w:val="0"/>
        </w:numPr>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sz w:val="32"/>
          <w:szCs w:val="32"/>
          <w:highlight w:val="none"/>
          <w:lang w:eastAsia="zh-CN"/>
        </w:rPr>
      </w:pPr>
      <w:r>
        <w:rPr>
          <w:rFonts w:hint="default" w:ascii="Times New Roman" w:hAnsi="Times New Roman" w:eastAsia="仿宋_GB2312" w:cs="Times New Roman"/>
          <w:kern w:val="0"/>
          <w:sz w:val="32"/>
          <w:szCs w:val="32"/>
          <w:highlight w:val="none"/>
          <w:shd w:val="clear" w:color="auto" w:fill="FFFFFF"/>
          <w:lang w:val="en-US" w:eastAsia="zh-CN"/>
        </w:rPr>
        <w:t>2023年，尧都区发展和改革局积极贯彻</w:t>
      </w:r>
      <w:r>
        <w:rPr>
          <w:rFonts w:hint="default" w:ascii="Times New Roman" w:hAnsi="Times New Roman" w:eastAsia="仿宋_GB2312" w:cs="Times New Roman"/>
          <w:kern w:val="0"/>
          <w:sz w:val="32"/>
          <w:szCs w:val="32"/>
          <w:highlight w:val="none"/>
          <w:shd w:val="clear" w:color="auto" w:fill="FFFFFF"/>
        </w:rPr>
        <w:t>执行《中华人民共和国政府信息公开条例》</w:t>
      </w:r>
      <w:r>
        <w:rPr>
          <w:rFonts w:hint="default" w:ascii="Times New Roman" w:hAnsi="Times New Roman" w:eastAsia="仿宋_GB2312" w:cs="Times New Roman"/>
          <w:kern w:val="0"/>
          <w:sz w:val="32"/>
          <w:szCs w:val="32"/>
          <w:highlight w:val="none"/>
          <w:shd w:val="clear" w:color="auto" w:fill="FFFFFF"/>
          <w:lang w:eastAsia="zh-CN"/>
        </w:rPr>
        <w:t>，</w:t>
      </w:r>
      <w:r>
        <w:rPr>
          <w:rFonts w:hint="default" w:ascii="Times New Roman" w:hAnsi="Times New Roman" w:eastAsia="仿宋_GB2312" w:cs="Times New Roman"/>
          <w:kern w:val="0"/>
          <w:sz w:val="32"/>
          <w:szCs w:val="32"/>
          <w:highlight w:val="none"/>
          <w:shd w:val="clear" w:color="auto" w:fill="FFFFFF"/>
          <w:lang w:val="en-US" w:eastAsia="zh-CN"/>
        </w:rPr>
        <w:t>认真</w:t>
      </w:r>
      <w:r>
        <w:rPr>
          <w:rFonts w:hint="default" w:ascii="Times New Roman" w:hAnsi="Times New Roman" w:eastAsia="仿宋_GB2312" w:cs="Times New Roman"/>
          <w:kern w:val="0"/>
          <w:sz w:val="32"/>
          <w:szCs w:val="32"/>
          <w:highlight w:val="none"/>
          <w:shd w:val="clear" w:color="auto" w:fill="FFFFFF"/>
        </w:rPr>
        <w:t>落实</w:t>
      </w:r>
      <w:r>
        <w:rPr>
          <w:rFonts w:hint="default" w:ascii="Times New Roman" w:hAnsi="Times New Roman" w:eastAsia="仿宋_GB2312" w:cs="Times New Roman"/>
          <w:kern w:val="0"/>
          <w:sz w:val="32"/>
          <w:szCs w:val="32"/>
          <w:highlight w:val="none"/>
          <w:shd w:val="clear" w:color="auto" w:fill="FFFFFF"/>
          <w:lang w:val="en-US" w:eastAsia="zh-CN"/>
        </w:rPr>
        <w:t>国家、</w:t>
      </w:r>
      <w:r>
        <w:rPr>
          <w:rFonts w:hint="default" w:ascii="Times New Roman" w:hAnsi="Times New Roman" w:eastAsia="仿宋_GB2312" w:cs="Times New Roman"/>
          <w:kern w:val="0"/>
          <w:sz w:val="32"/>
          <w:szCs w:val="32"/>
          <w:highlight w:val="none"/>
          <w:shd w:val="clear" w:color="auto" w:fill="FFFFFF"/>
        </w:rPr>
        <w:t>省、市、区关于全面推进</w:t>
      </w:r>
      <w:r>
        <w:rPr>
          <w:rFonts w:hint="default" w:ascii="Times New Roman" w:hAnsi="Times New Roman" w:eastAsia="仿宋_GB2312" w:cs="Times New Roman"/>
          <w:kern w:val="0"/>
          <w:sz w:val="32"/>
          <w:szCs w:val="32"/>
          <w:highlight w:val="none"/>
          <w:shd w:val="clear" w:color="auto" w:fill="FFFFFF"/>
          <w:lang w:val="en-US" w:eastAsia="zh-CN"/>
        </w:rPr>
        <w:t>政务公开工作的</w:t>
      </w:r>
      <w:r>
        <w:rPr>
          <w:rFonts w:hint="default" w:ascii="Times New Roman" w:hAnsi="Times New Roman" w:eastAsia="仿宋_GB2312" w:cs="Times New Roman"/>
          <w:kern w:val="0"/>
          <w:sz w:val="32"/>
          <w:szCs w:val="32"/>
          <w:highlight w:val="none"/>
          <w:shd w:val="clear" w:color="auto" w:fill="FFFFFF"/>
        </w:rPr>
        <w:t>部署，</w:t>
      </w:r>
      <w:r>
        <w:rPr>
          <w:rFonts w:hint="default" w:ascii="Times New Roman" w:hAnsi="Times New Roman" w:eastAsia="仿宋_GB2312" w:cs="Times New Roman"/>
          <w:kern w:val="0"/>
          <w:sz w:val="32"/>
          <w:szCs w:val="32"/>
          <w:highlight w:val="none"/>
          <w:shd w:val="clear" w:color="auto" w:fill="FFFFFF"/>
          <w:lang w:val="en-US" w:eastAsia="zh-CN"/>
        </w:rPr>
        <w:t>结合发改工作实际，扎实</w:t>
      </w:r>
      <w:r>
        <w:rPr>
          <w:rFonts w:hint="default" w:ascii="Times New Roman" w:hAnsi="Times New Roman" w:eastAsia="仿宋" w:cs="Times New Roman"/>
          <w:sz w:val="32"/>
          <w:szCs w:val="32"/>
          <w:highlight w:val="none"/>
          <w:lang w:val="en-US" w:eastAsia="zh-CN"/>
        </w:rPr>
        <w:t>推进政务公开，完善公开内容，</w:t>
      </w:r>
      <w:r>
        <w:rPr>
          <w:rFonts w:hint="default" w:ascii="Times New Roman" w:hAnsi="Times New Roman" w:eastAsia="仿宋_GB2312" w:cs="Times New Roman"/>
          <w:kern w:val="0"/>
          <w:sz w:val="32"/>
          <w:szCs w:val="32"/>
          <w:highlight w:val="none"/>
          <w:shd w:val="clear" w:color="auto" w:fill="FFFFFF"/>
          <w:lang w:val="en-US" w:eastAsia="zh-CN"/>
        </w:rPr>
        <w:t>坚持政务信息公开、透明、规范，提升行政效能，自觉接受社会和群众监督。</w:t>
      </w:r>
      <w:r>
        <w:rPr>
          <w:rFonts w:hint="default" w:ascii="Times New Roman" w:hAnsi="Times New Roman" w:eastAsia="仿宋" w:cs="Times New Roman"/>
          <w:sz w:val="32"/>
          <w:szCs w:val="32"/>
          <w:highlight w:val="none"/>
        </w:rPr>
        <w:t>现将我</w:t>
      </w:r>
      <w:r>
        <w:rPr>
          <w:rFonts w:hint="default" w:ascii="Times New Roman" w:hAnsi="Times New Roman" w:eastAsia="仿宋" w:cs="Times New Roman"/>
          <w:sz w:val="32"/>
          <w:szCs w:val="32"/>
          <w:highlight w:val="none"/>
          <w:lang w:val="en-US" w:eastAsia="zh-CN"/>
        </w:rPr>
        <w:t>局政府信息公开</w:t>
      </w:r>
      <w:r>
        <w:rPr>
          <w:rFonts w:hint="default" w:ascii="Times New Roman" w:hAnsi="Times New Roman" w:eastAsia="仿宋" w:cs="Times New Roman"/>
          <w:sz w:val="32"/>
          <w:szCs w:val="32"/>
          <w:highlight w:val="none"/>
        </w:rPr>
        <w:t>情况报</w:t>
      </w:r>
      <w:r>
        <w:rPr>
          <w:rFonts w:hint="default" w:ascii="Times New Roman" w:hAnsi="Times New Roman" w:eastAsia="仿宋" w:cs="Times New Roman"/>
          <w:sz w:val="32"/>
          <w:szCs w:val="32"/>
          <w:highlight w:val="none"/>
          <w:lang w:val="en-US" w:eastAsia="zh-CN"/>
        </w:rPr>
        <w:t>告</w:t>
      </w:r>
      <w:r>
        <w:rPr>
          <w:rFonts w:hint="default" w:ascii="Times New Roman" w:hAnsi="Times New Roman" w:eastAsia="仿宋" w:cs="Times New Roman"/>
          <w:sz w:val="32"/>
          <w:szCs w:val="32"/>
          <w:highlight w:val="none"/>
        </w:rPr>
        <w:t>如下</w:t>
      </w:r>
      <w:r>
        <w:rPr>
          <w:rFonts w:hint="default" w:ascii="Times New Roman" w:hAnsi="Times New Roman" w:eastAsia="仿宋" w:cs="Times New Roman"/>
          <w:sz w:val="32"/>
          <w:szCs w:val="32"/>
          <w:highlight w:val="none"/>
          <w:lang w:eastAsia="zh-CN"/>
        </w:rPr>
        <w:t>：</w:t>
      </w:r>
    </w:p>
    <w:p>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Times New Roman" w:hAnsi="Times New Roman" w:eastAsia="仿宋" w:cs="Times New Roman"/>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（一）加大政策宣传力度，强化队伍建设。</w:t>
      </w:r>
      <w:r>
        <w:rPr>
          <w:rFonts w:hint="default" w:ascii="Times New Roman" w:hAnsi="Times New Roman" w:eastAsia="仿宋" w:cs="Times New Roman"/>
          <w:b w:val="0"/>
          <w:bCs w:val="0"/>
          <w:sz w:val="32"/>
          <w:szCs w:val="32"/>
          <w:highlight w:val="none"/>
        </w:rPr>
        <w:t>一是采取集中学习的方式，宣传政务公开相关政策、办法。二是</w:t>
      </w:r>
      <w:r>
        <w:rPr>
          <w:rFonts w:hint="default" w:ascii="Times New Roman" w:hAnsi="Times New Roman" w:eastAsia="仿宋" w:cs="Times New Roman"/>
          <w:sz w:val="32"/>
          <w:szCs w:val="32"/>
          <w:highlight w:val="none"/>
        </w:rPr>
        <w:t>积极参加上级组织的信息工作学习培训，加强信息公开队伍建设。</w:t>
      </w:r>
      <w:r>
        <w:rPr>
          <w:rFonts w:hint="default" w:ascii="Times New Roman" w:hAnsi="Times New Roman" w:eastAsia="仿宋" w:cs="Times New Roman"/>
          <w:sz w:val="32"/>
          <w:szCs w:val="32"/>
          <w:highlight w:val="none"/>
          <w:lang w:val="en-US" w:eastAsia="zh-CN"/>
        </w:rPr>
        <w:t xml:space="preserve"> </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default" w:ascii="Times New Roman" w:hAnsi="Times New Roman" w:cs="Times New Roman"/>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（二）严格执行制度，做好主动公开。</w:t>
      </w:r>
    </w:p>
    <w:p>
      <w:pPr>
        <w:keepNext w:val="0"/>
        <w:keepLines w:val="0"/>
        <w:pageBreakBefore w:val="0"/>
        <w:kinsoku/>
        <w:wordWrap/>
        <w:overflowPunct/>
        <w:topLinePunct w:val="0"/>
        <w:autoSpaceDE/>
        <w:autoSpaceDN/>
        <w:bidi w:val="0"/>
        <w:spacing w:line="600" w:lineRule="exact"/>
        <w:ind w:firstLine="640" w:firstLineChars="200"/>
        <w:textAlignment w:val="auto"/>
        <w:rPr>
          <w:rFonts w:hint="default" w:ascii="Times New Roman" w:hAnsi="Times New Roman" w:eastAsia="仿宋" w:cs="Times New Roman"/>
          <w:b w:val="0"/>
          <w:bCs w:val="0"/>
          <w:sz w:val="32"/>
          <w:szCs w:val="32"/>
          <w:highlight w:val="none"/>
          <w:lang w:val="en-US" w:eastAsia="zh-CN"/>
        </w:rPr>
      </w:pPr>
      <w:r>
        <w:rPr>
          <w:rFonts w:hint="default" w:ascii="Times New Roman" w:hAnsi="Times New Roman" w:eastAsia="仿宋" w:cs="Times New Roman"/>
          <w:b w:val="0"/>
          <w:bCs w:val="0"/>
          <w:sz w:val="32"/>
          <w:szCs w:val="32"/>
          <w:highlight w:val="none"/>
          <w:lang w:val="en-US" w:eastAsia="zh-CN"/>
        </w:rPr>
        <w:t xml:space="preserve">严格执行政府信息主动公开制度、政府信息依申请公开制度、政府信息公开保密审查制度、政府信息公开责任追究制度、政府信息公开年度报告制度。 </w:t>
      </w:r>
    </w:p>
    <w:p>
      <w:pPr>
        <w:keepNext w:val="0"/>
        <w:keepLines w:val="0"/>
        <w:pageBreakBefore w:val="0"/>
        <w:kinsoku/>
        <w:wordWrap/>
        <w:overflowPunct/>
        <w:topLinePunct w:val="0"/>
        <w:autoSpaceDE/>
        <w:autoSpaceDN/>
        <w:bidi w:val="0"/>
        <w:spacing w:line="600" w:lineRule="exact"/>
        <w:ind w:firstLine="643" w:firstLineChars="200"/>
        <w:textAlignment w:val="auto"/>
        <w:rPr>
          <w:rFonts w:hint="default" w:ascii="楷体_GB2312" w:hAnsi="楷体_GB2312" w:eastAsia="楷体_GB2312" w:cs="楷体_GB2312"/>
          <w:b/>
          <w:bCs/>
          <w:sz w:val="32"/>
          <w:szCs w:val="32"/>
          <w:highlight w:val="none"/>
          <w:lang w:val="en-US" w:eastAsia="zh-CN"/>
        </w:rPr>
      </w:pPr>
      <w:r>
        <w:rPr>
          <w:rFonts w:hint="default" w:ascii="楷体_GB2312" w:hAnsi="楷体_GB2312" w:eastAsia="楷体_GB2312" w:cs="楷体_GB2312"/>
          <w:b/>
          <w:bCs/>
          <w:sz w:val="32"/>
          <w:szCs w:val="32"/>
          <w:highlight w:val="none"/>
          <w:lang w:val="en-US" w:eastAsia="zh-CN"/>
        </w:rPr>
        <w:t>（三）做好政策解读，积极回应社会关切。</w:t>
      </w:r>
    </w:p>
    <w:p>
      <w:pPr>
        <w:keepNext w:val="0"/>
        <w:keepLines w:val="0"/>
        <w:pageBreakBefore w:val="0"/>
        <w:numPr>
          <w:ilvl w:val="0"/>
          <w:numId w:val="0"/>
        </w:numPr>
        <w:kinsoku/>
        <w:wordWrap/>
        <w:overflowPunct/>
        <w:topLinePunct w:val="0"/>
        <w:autoSpaceDE/>
        <w:autoSpaceDN/>
        <w:bidi w:val="0"/>
        <w:spacing w:line="60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lang w:val="en-US" w:eastAsia="zh-CN"/>
        </w:rPr>
        <w:t>1.政策解读情况。</w:t>
      </w:r>
      <w:r>
        <w:rPr>
          <w:rFonts w:hint="default" w:ascii="Times New Roman" w:hAnsi="Times New Roman" w:eastAsia="仿宋" w:cs="Times New Roman"/>
          <w:i w:val="0"/>
          <w:caps w:val="0"/>
          <w:color w:val="auto"/>
          <w:spacing w:val="0"/>
          <w:sz w:val="32"/>
          <w:szCs w:val="32"/>
          <w:highlight w:val="none"/>
        </w:rPr>
        <w:t>及时传递党和国家相关政策,准确解读贯彻执行措施。坚持</w:t>
      </w:r>
      <w:r>
        <w:rPr>
          <w:rFonts w:hint="eastAsia" w:ascii="Times New Roman" w:hAnsi="Times New Roman" w:eastAsia="仿宋" w:cs="Times New Roman"/>
          <w:i w:val="0"/>
          <w:caps w:val="0"/>
          <w:color w:val="auto"/>
          <w:spacing w:val="0"/>
          <w:sz w:val="32"/>
          <w:szCs w:val="32"/>
          <w:highlight w:val="none"/>
          <w:lang w:eastAsia="zh-CN"/>
        </w:rPr>
        <w:t>“</w:t>
      </w:r>
      <w:r>
        <w:rPr>
          <w:rFonts w:hint="default" w:ascii="Times New Roman" w:hAnsi="Times New Roman" w:eastAsia="仿宋" w:cs="Times New Roman"/>
          <w:i w:val="0"/>
          <w:caps w:val="0"/>
          <w:color w:val="auto"/>
          <w:spacing w:val="0"/>
          <w:sz w:val="32"/>
          <w:szCs w:val="32"/>
          <w:highlight w:val="none"/>
        </w:rPr>
        <w:t>谁起草、谁解读</w:t>
      </w:r>
      <w:r>
        <w:rPr>
          <w:rFonts w:hint="eastAsia" w:ascii="Times New Roman" w:hAnsi="Times New Roman" w:eastAsia="仿宋" w:cs="Times New Roman"/>
          <w:i w:val="0"/>
          <w:caps w:val="0"/>
          <w:color w:val="auto"/>
          <w:spacing w:val="0"/>
          <w:sz w:val="32"/>
          <w:szCs w:val="32"/>
          <w:highlight w:val="none"/>
          <w:lang w:eastAsia="zh-CN"/>
        </w:rPr>
        <w:t>”</w:t>
      </w:r>
      <w:r>
        <w:rPr>
          <w:rFonts w:hint="default" w:ascii="Times New Roman" w:hAnsi="Times New Roman" w:eastAsia="仿宋" w:cs="Times New Roman"/>
          <w:i w:val="0"/>
          <w:caps w:val="0"/>
          <w:color w:val="auto"/>
          <w:spacing w:val="0"/>
          <w:sz w:val="32"/>
          <w:szCs w:val="32"/>
          <w:highlight w:val="none"/>
        </w:rPr>
        <w:t>的原则，认真落实政策文件与解读方案</w:t>
      </w:r>
      <w:r>
        <w:rPr>
          <w:rFonts w:hint="default" w:ascii="Times New Roman" w:hAnsi="Times New Roman" w:eastAsia="仿宋" w:cs="Times New Roman"/>
          <w:i w:val="0"/>
          <w:caps w:val="0"/>
          <w:color w:val="auto"/>
          <w:spacing w:val="0"/>
          <w:sz w:val="32"/>
          <w:szCs w:val="32"/>
          <w:highlight w:val="none"/>
          <w:lang w:val="en-US" w:eastAsia="zh-CN"/>
        </w:rPr>
        <w:t>或解读材料</w:t>
      </w:r>
      <w:r>
        <w:rPr>
          <w:rFonts w:hint="default" w:ascii="Times New Roman" w:hAnsi="Times New Roman" w:eastAsia="仿宋" w:cs="Times New Roman"/>
          <w:i w:val="0"/>
          <w:caps w:val="0"/>
          <w:color w:val="auto"/>
          <w:spacing w:val="0"/>
          <w:sz w:val="32"/>
          <w:szCs w:val="32"/>
          <w:highlight w:val="none"/>
        </w:rPr>
        <w:t>同步</w:t>
      </w:r>
      <w:r>
        <w:rPr>
          <w:rFonts w:hint="default" w:ascii="Times New Roman" w:hAnsi="Times New Roman" w:eastAsia="仿宋" w:cs="Times New Roman"/>
          <w:i w:val="0"/>
          <w:caps w:val="0"/>
          <w:color w:val="auto"/>
          <w:spacing w:val="0"/>
          <w:sz w:val="32"/>
          <w:szCs w:val="32"/>
          <w:highlight w:val="none"/>
          <w:lang w:val="en-US" w:eastAsia="zh-CN"/>
        </w:rPr>
        <w:t>起草</w:t>
      </w:r>
      <w:r>
        <w:rPr>
          <w:rFonts w:hint="default" w:ascii="Times New Roman" w:hAnsi="Times New Roman" w:eastAsia="仿宋" w:cs="Times New Roman"/>
          <w:i w:val="0"/>
          <w:caps w:val="0"/>
          <w:color w:val="auto"/>
          <w:spacing w:val="0"/>
          <w:sz w:val="32"/>
          <w:szCs w:val="32"/>
          <w:highlight w:val="none"/>
        </w:rPr>
        <w:t>、同步审签、同步</w:t>
      </w:r>
      <w:r>
        <w:rPr>
          <w:rFonts w:hint="default" w:ascii="Times New Roman" w:hAnsi="Times New Roman" w:eastAsia="仿宋" w:cs="Times New Roman"/>
          <w:i w:val="0"/>
          <w:caps w:val="0"/>
          <w:color w:val="auto"/>
          <w:spacing w:val="0"/>
          <w:sz w:val="32"/>
          <w:szCs w:val="32"/>
          <w:highlight w:val="none"/>
          <w:lang w:val="en-US" w:eastAsia="zh-CN"/>
        </w:rPr>
        <w:t>发布</w:t>
      </w:r>
      <w:r>
        <w:rPr>
          <w:rFonts w:hint="default" w:ascii="Times New Roman" w:hAnsi="Times New Roman" w:eastAsia="仿宋" w:cs="Times New Roman"/>
          <w:i w:val="0"/>
          <w:caps w:val="0"/>
          <w:color w:val="auto"/>
          <w:spacing w:val="0"/>
          <w:sz w:val="32"/>
          <w:szCs w:val="32"/>
          <w:highlight w:val="none"/>
        </w:rPr>
        <w:t>工作机制</w:t>
      </w:r>
      <w:r>
        <w:rPr>
          <w:rFonts w:hint="default" w:ascii="Times New Roman" w:hAnsi="Times New Roman" w:eastAsia="仿宋" w:cs="Times New Roman"/>
          <w:i w:val="0"/>
          <w:caps w:val="0"/>
          <w:color w:val="auto"/>
          <w:spacing w:val="0"/>
          <w:sz w:val="32"/>
          <w:szCs w:val="32"/>
          <w:highlight w:val="none"/>
          <w:lang w:val="en-US" w:eastAsia="zh-CN"/>
        </w:rPr>
        <w:t>。</w:t>
      </w:r>
      <w:r>
        <w:rPr>
          <w:rFonts w:hint="default" w:ascii="Times New Roman" w:hAnsi="Times New Roman" w:eastAsia="仿宋" w:cs="Times New Roman"/>
          <w:sz w:val="32"/>
          <w:szCs w:val="32"/>
          <w:highlight w:val="none"/>
        </w:rPr>
        <w:t>通过不同渠道和方式回应解读情况</w:t>
      </w:r>
      <w:r>
        <w:rPr>
          <w:rFonts w:hint="default" w:ascii="Times New Roman" w:hAnsi="Times New Roman" w:eastAsia="仿宋" w:cs="Times New Roman"/>
          <w:sz w:val="32"/>
          <w:szCs w:val="32"/>
          <w:highlight w:val="none"/>
          <w:lang w:val="en-US" w:eastAsia="zh-CN"/>
        </w:rPr>
        <w:t>23</w:t>
      </w:r>
      <w:r>
        <w:rPr>
          <w:rFonts w:hint="default" w:ascii="Times New Roman" w:hAnsi="Times New Roman" w:eastAsia="仿宋" w:cs="Times New Roman"/>
          <w:sz w:val="32"/>
          <w:szCs w:val="32"/>
          <w:highlight w:val="none"/>
        </w:rPr>
        <w:t>条。其中，政策解读稿件发布</w:t>
      </w:r>
      <w:r>
        <w:rPr>
          <w:rFonts w:hint="default" w:ascii="Times New Roman" w:hAnsi="Times New Roman" w:eastAsia="仿宋" w:cs="Times New Roman"/>
          <w:sz w:val="32"/>
          <w:szCs w:val="32"/>
          <w:highlight w:val="none"/>
          <w:lang w:val="en-US" w:eastAsia="zh-CN"/>
        </w:rPr>
        <w:t>2</w:t>
      </w:r>
      <w:r>
        <w:rPr>
          <w:rFonts w:hint="default" w:ascii="Times New Roman" w:hAnsi="Times New Roman" w:eastAsia="仿宋" w:cs="Times New Roman"/>
          <w:sz w:val="32"/>
          <w:szCs w:val="32"/>
          <w:highlight w:val="none"/>
        </w:rPr>
        <w:t>篇；通过电话等其他方式回应事件数</w:t>
      </w:r>
      <w:r>
        <w:rPr>
          <w:rFonts w:hint="default" w:ascii="Times New Roman" w:hAnsi="Times New Roman" w:eastAsia="仿宋" w:cs="Times New Roman"/>
          <w:sz w:val="32"/>
          <w:szCs w:val="32"/>
          <w:highlight w:val="none"/>
          <w:lang w:val="en-US" w:eastAsia="zh-CN"/>
        </w:rPr>
        <w:t>21</w:t>
      </w:r>
      <w:r>
        <w:rPr>
          <w:rFonts w:hint="default" w:ascii="Times New Roman" w:hAnsi="Times New Roman" w:eastAsia="仿宋" w:cs="Times New Roman"/>
          <w:sz w:val="32"/>
          <w:szCs w:val="32"/>
          <w:highlight w:val="none"/>
        </w:rPr>
        <w:t>次。</w:t>
      </w:r>
    </w:p>
    <w:p>
      <w:pPr>
        <w:pStyle w:val="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600" w:lineRule="exact"/>
        <w:ind w:right="0" w:firstLine="643" w:firstLineChars="200"/>
        <w:jc w:val="left"/>
        <w:textAlignment w:val="auto"/>
        <w:rPr>
          <w:rFonts w:hint="default" w:ascii="Times New Roman" w:hAnsi="Times New Roman" w:eastAsia="仿宋" w:cs="Times New Roman"/>
          <w:b w:val="0"/>
          <w:i w:val="0"/>
          <w:color w:val="auto"/>
          <w:sz w:val="32"/>
          <w:szCs w:val="32"/>
          <w:highlight w:val="none"/>
          <w:shd w:val="clear" w:fill="FFFFFF"/>
          <w:lang w:val="en-US" w:eastAsia="zh-CN"/>
        </w:rPr>
      </w:pPr>
      <w:r>
        <w:rPr>
          <w:rFonts w:hint="default" w:ascii="Times New Roman" w:hAnsi="Times New Roman" w:eastAsia="仿宋" w:cs="Times New Roman"/>
          <w:b/>
          <w:bCs/>
          <w:kern w:val="2"/>
          <w:sz w:val="32"/>
          <w:szCs w:val="32"/>
          <w:highlight w:val="none"/>
          <w:lang w:val="en-US" w:eastAsia="zh-CN" w:bidi="ar-SA"/>
        </w:rPr>
        <w:t>2.政务舆情回应关切机制建设情况。</w:t>
      </w:r>
      <w:r>
        <w:rPr>
          <w:rFonts w:hint="default" w:ascii="Times New Roman" w:hAnsi="Times New Roman" w:eastAsia="仿宋" w:cs="Times New Roman"/>
          <w:b w:val="0"/>
          <w:i w:val="0"/>
          <w:color w:val="auto"/>
          <w:sz w:val="32"/>
          <w:szCs w:val="32"/>
          <w:highlight w:val="none"/>
          <w:shd w:val="clear" w:fill="FFFFFF"/>
        </w:rPr>
        <w:t>切实履行政务舆情回应主体责任</w:t>
      </w:r>
      <w:r>
        <w:rPr>
          <w:rFonts w:hint="default" w:ascii="Times New Roman" w:hAnsi="Times New Roman" w:eastAsia="仿宋" w:cs="Times New Roman"/>
          <w:b w:val="0"/>
          <w:i w:val="0"/>
          <w:color w:val="auto"/>
          <w:sz w:val="32"/>
          <w:szCs w:val="32"/>
          <w:highlight w:val="none"/>
          <w:shd w:val="clear" w:fill="FFFFFF"/>
          <w:lang w:val="en-US" w:eastAsia="zh-CN"/>
        </w:rPr>
        <w:t>，</w:t>
      </w:r>
      <w:r>
        <w:rPr>
          <w:rFonts w:hint="default" w:ascii="Times New Roman" w:hAnsi="Times New Roman" w:eastAsia="仿宋" w:cs="Times New Roman"/>
          <w:b w:val="0"/>
          <w:i w:val="0"/>
          <w:color w:val="auto"/>
          <w:sz w:val="32"/>
          <w:szCs w:val="32"/>
          <w:highlight w:val="none"/>
          <w:shd w:val="clear" w:fill="FFFFFF"/>
        </w:rPr>
        <w:t>以</w:t>
      </w:r>
      <w:r>
        <w:rPr>
          <w:rFonts w:hint="eastAsia" w:ascii="Times New Roman" w:hAnsi="Times New Roman" w:eastAsia="仿宋" w:cs="Times New Roman"/>
          <w:b w:val="0"/>
          <w:i w:val="0"/>
          <w:color w:val="auto"/>
          <w:sz w:val="32"/>
          <w:szCs w:val="32"/>
          <w:highlight w:val="none"/>
          <w:shd w:val="clear" w:fill="FFFFFF"/>
          <w:lang w:eastAsia="zh-CN"/>
        </w:rPr>
        <w:t>“</w:t>
      </w:r>
      <w:r>
        <w:rPr>
          <w:rFonts w:hint="default" w:ascii="Times New Roman" w:hAnsi="Times New Roman" w:eastAsia="仿宋" w:cs="Times New Roman"/>
          <w:b w:val="0"/>
          <w:i w:val="0"/>
          <w:color w:val="auto"/>
          <w:sz w:val="32"/>
          <w:szCs w:val="32"/>
          <w:highlight w:val="none"/>
          <w:shd w:val="clear" w:fill="FFFFFF"/>
        </w:rPr>
        <w:t>收集民意、倾听民声、了解民情、解决民忧</w:t>
      </w:r>
      <w:r>
        <w:rPr>
          <w:rFonts w:hint="eastAsia" w:ascii="Times New Roman" w:hAnsi="Times New Roman" w:eastAsia="仿宋" w:cs="Times New Roman"/>
          <w:b w:val="0"/>
          <w:i w:val="0"/>
          <w:color w:val="auto"/>
          <w:sz w:val="32"/>
          <w:szCs w:val="32"/>
          <w:highlight w:val="none"/>
          <w:shd w:val="clear" w:fill="FFFFFF"/>
          <w:lang w:eastAsia="zh-CN"/>
        </w:rPr>
        <w:t>”</w:t>
      </w:r>
      <w:r>
        <w:rPr>
          <w:rFonts w:hint="default" w:ascii="Times New Roman" w:hAnsi="Times New Roman" w:eastAsia="仿宋" w:cs="Times New Roman"/>
          <w:b w:val="0"/>
          <w:i w:val="0"/>
          <w:color w:val="auto"/>
          <w:sz w:val="32"/>
          <w:szCs w:val="32"/>
          <w:highlight w:val="none"/>
          <w:shd w:val="clear" w:fill="FFFFFF"/>
        </w:rPr>
        <w:t>为宗旨，以提高执行力为目的，进一步拓展与群众沟通的渠道。</w:t>
      </w:r>
      <w:r>
        <w:rPr>
          <w:rFonts w:hint="default" w:ascii="Times New Roman" w:hAnsi="Times New Roman" w:eastAsia="仿宋" w:cs="Times New Roman"/>
          <w:b w:val="0"/>
          <w:i w:val="0"/>
          <w:color w:val="auto"/>
          <w:sz w:val="32"/>
          <w:szCs w:val="32"/>
          <w:highlight w:val="none"/>
          <w:shd w:val="clear" w:fill="FFFFFF"/>
          <w:lang w:val="en-US" w:eastAsia="zh-CN"/>
        </w:rPr>
        <w:t>一是</w:t>
      </w:r>
      <w:r>
        <w:rPr>
          <w:rFonts w:hint="default" w:ascii="Times New Roman" w:hAnsi="Times New Roman" w:eastAsia="仿宋" w:cs="Times New Roman"/>
          <w:b w:val="0"/>
          <w:i w:val="0"/>
          <w:color w:val="auto"/>
          <w:sz w:val="32"/>
          <w:szCs w:val="32"/>
          <w:highlight w:val="none"/>
          <w:shd w:val="clear" w:fill="FFFFFF"/>
        </w:rPr>
        <w:t>加强日常监</w:t>
      </w:r>
      <w:r>
        <w:rPr>
          <w:rFonts w:hint="default" w:ascii="Times New Roman" w:hAnsi="Times New Roman" w:eastAsia="仿宋" w:cs="Times New Roman"/>
          <w:b w:val="0"/>
          <w:i w:val="0"/>
          <w:color w:val="auto"/>
          <w:sz w:val="32"/>
          <w:szCs w:val="32"/>
          <w:highlight w:val="none"/>
          <w:shd w:val="clear" w:fill="FFFFFF"/>
          <w:lang w:val="en-US" w:eastAsia="zh-CN"/>
        </w:rPr>
        <w:t>管。二是</w:t>
      </w:r>
      <w:r>
        <w:rPr>
          <w:rFonts w:hint="default" w:ascii="Times New Roman" w:hAnsi="Times New Roman" w:eastAsia="仿宋" w:cs="Times New Roman"/>
          <w:b w:val="0"/>
          <w:i w:val="0"/>
          <w:color w:val="auto"/>
          <w:sz w:val="32"/>
          <w:szCs w:val="32"/>
          <w:highlight w:val="none"/>
          <w:shd w:val="clear" w:fill="FFFFFF"/>
        </w:rPr>
        <w:t>把握舆情研判</w:t>
      </w:r>
      <w:r>
        <w:rPr>
          <w:rFonts w:hint="default" w:ascii="Times New Roman" w:hAnsi="Times New Roman" w:eastAsia="仿宋" w:cs="Times New Roman"/>
          <w:b w:val="0"/>
          <w:i w:val="0"/>
          <w:color w:val="auto"/>
          <w:sz w:val="32"/>
          <w:szCs w:val="32"/>
          <w:highlight w:val="none"/>
          <w:shd w:val="clear" w:fill="FFFFFF"/>
          <w:lang w:eastAsia="zh-CN"/>
        </w:rPr>
        <w:t>。</w:t>
      </w:r>
      <w:r>
        <w:rPr>
          <w:rFonts w:hint="default" w:ascii="Times New Roman" w:hAnsi="Times New Roman" w:eastAsia="仿宋" w:cs="Times New Roman"/>
          <w:b w:val="0"/>
          <w:i w:val="0"/>
          <w:color w:val="auto"/>
          <w:sz w:val="32"/>
          <w:szCs w:val="32"/>
          <w:highlight w:val="none"/>
          <w:shd w:val="clear" w:fill="FFFFFF"/>
        </w:rPr>
        <w:t>三</w:t>
      </w:r>
      <w:r>
        <w:rPr>
          <w:rFonts w:hint="default" w:ascii="Times New Roman" w:hAnsi="Times New Roman" w:eastAsia="仿宋" w:cs="Times New Roman"/>
          <w:b w:val="0"/>
          <w:i w:val="0"/>
          <w:color w:val="auto"/>
          <w:sz w:val="32"/>
          <w:szCs w:val="32"/>
          <w:highlight w:val="none"/>
          <w:shd w:val="clear" w:fill="FFFFFF"/>
          <w:lang w:val="en-US" w:eastAsia="zh-CN"/>
        </w:rPr>
        <w:t>是</w:t>
      </w:r>
      <w:r>
        <w:rPr>
          <w:rFonts w:hint="default" w:ascii="Times New Roman" w:hAnsi="Times New Roman" w:eastAsia="仿宋" w:cs="Times New Roman"/>
          <w:b w:val="0"/>
          <w:i w:val="0"/>
          <w:color w:val="auto"/>
          <w:sz w:val="32"/>
          <w:szCs w:val="32"/>
          <w:highlight w:val="none"/>
          <w:shd w:val="clear" w:fill="FFFFFF"/>
        </w:rPr>
        <w:t>及时处置应对</w:t>
      </w:r>
      <w:r>
        <w:rPr>
          <w:rFonts w:hint="default" w:ascii="Times New Roman" w:hAnsi="Times New Roman" w:eastAsia="仿宋" w:cs="Times New Roman"/>
          <w:b w:val="0"/>
          <w:i w:val="0"/>
          <w:color w:val="auto"/>
          <w:sz w:val="32"/>
          <w:szCs w:val="32"/>
          <w:highlight w:val="none"/>
          <w:shd w:val="clear" w:fill="FFFFFF"/>
          <w:lang w:eastAsia="zh-CN"/>
        </w:rPr>
        <w:t>。</w:t>
      </w:r>
      <w:r>
        <w:rPr>
          <w:rFonts w:hint="default" w:ascii="Times New Roman" w:hAnsi="Times New Roman" w:eastAsia="仿宋" w:cs="Times New Roman"/>
          <w:b w:val="0"/>
          <w:i w:val="0"/>
          <w:color w:val="auto"/>
          <w:sz w:val="32"/>
          <w:szCs w:val="32"/>
          <w:highlight w:val="none"/>
          <w:shd w:val="clear" w:fill="FFFFFF"/>
          <w:lang w:val="en-US" w:eastAsia="zh-CN"/>
        </w:rPr>
        <w:t>四是</w:t>
      </w:r>
      <w:r>
        <w:rPr>
          <w:rFonts w:hint="default" w:ascii="Times New Roman" w:hAnsi="Times New Roman" w:eastAsia="仿宋" w:cs="Times New Roman"/>
          <w:b w:val="0"/>
          <w:i w:val="0"/>
          <w:color w:val="auto"/>
          <w:sz w:val="32"/>
          <w:szCs w:val="32"/>
          <w:highlight w:val="none"/>
          <w:shd w:val="clear" w:fill="FFFFFF"/>
        </w:rPr>
        <w:t>深入总结分析</w:t>
      </w:r>
      <w:r>
        <w:rPr>
          <w:rFonts w:hint="default" w:ascii="Times New Roman" w:hAnsi="Times New Roman" w:eastAsia="仿宋" w:cs="Times New Roman"/>
          <w:b w:val="0"/>
          <w:i w:val="0"/>
          <w:color w:val="auto"/>
          <w:sz w:val="32"/>
          <w:szCs w:val="32"/>
          <w:highlight w:val="none"/>
          <w:shd w:val="clear" w:fill="FFFFFF"/>
          <w:lang w:eastAsia="zh-CN"/>
        </w:rPr>
        <w:t>。</w:t>
      </w:r>
      <w:r>
        <w:rPr>
          <w:rFonts w:hint="default" w:ascii="Times New Roman" w:hAnsi="Times New Roman" w:eastAsia="仿宋" w:cs="Times New Roman"/>
          <w:b w:val="0"/>
          <w:i w:val="0"/>
          <w:color w:val="auto"/>
          <w:sz w:val="32"/>
          <w:szCs w:val="32"/>
          <w:highlight w:val="none"/>
          <w:shd w:val="clear" w:fill="FFFFFF"/>
          <w:lang w:val="en-US" w:eastAsia="zh-CN"/>
        </w:rPr>
        <w:t>今年以来收到共收到省市转办件6个，均及时办理。</w:t>
      </w:r>
    </w:p>
    <w:p>
      <w:pPr>
        <w:keepNext w:val="0"/>
        <w:keepLines w:val="0"/>
        <w:pageBreakBefore w:val="0"/>
        <w:kinsoku/>
        <w:wordWrap/>
        <w:overflowPunct/>
        <w:topLinePunct w:val="0"/>
        <w:autoSpaceDE/>
        <w:autoSpaceDN/>
        <w:bidi w:val="0"/>
        <w:spacing w:line="600" w:lineRule="exact"/>
        <w:ind w:firstLine="640" w:firstLineChars="200"/>
        <w:jc w:val="both"/>
        <w:textAlignment w:val="auto"/>
        <w:rPr>
          <w:rFonts w:hint="default" w:ascii="仿宋" w:hAnsi="仿宋" w:eastAsia="仿宋" w:cs="仿宋"/>
          <w:b w:val="0"/>
          <w:bCs w:val="0"/>
          <w:sz w:val="32"/>
          <w:szCs w:val="32"/>
          <w:highlight w:val="none"/>
          <w:lang w:val="en-US" w:eastAsia="zh-CN"/>
        </w:rPr>
      </w:pPr>
    </w:p>
    <w:p>
      <w:pPr>
        <w:widowControl/>
        <w:shd w:val="clear" w:color="auto" w:fill="FFFFFF"/>
        <w:ind w:firstLine="2240" w:firstLineChars="700"/>
        <w:rPr>
          <w:rFonts w:hint="eastAsia" w:ascii="宋体" w:hAnsi="宋体" w:eastAsia="宋体" w:cs="宋体"/>
          <w:b w:val="0"/>
          <w:bCs w:val="0"/>
          <w:color w:val="auto"/>
          <w:kern w:val="0"/>
          <w:sz w:val="24"/>
          <w:szCs w:val="24"/>
          <w:highlight w:val="none"/>
        </w:rPr>
      </w:pPr>
      <w:r>
        <w:rPr>
          <w:rFonts w:hint="eastAsia" w:ascii="黑体" w:hAnsi="黑体" w:eastAsia="黑体" w:cs="黑体"/>
          <w:b w:val="0"/>
          <w:bCs w:val="0"/>
          <w:color w:val="auto"/>
          <w:kern w:val="0"/>
          <w:sz w:val="32"/>
          <w:szCs w:val="32"/>
          <w:highlight w:val="none"/>
        </w:rPr>
        <w:t>二、主动公开政府信息情况</w:t>
      </w:r>
    </w:p>
    <w:p>
      <w:pPr>
        <w:widowControl/>
        <w:shd w:val="clear" w:color="auto" w:fill="FFFFFF"/>
        <w:ind w:firstLine="480"/>
        <w:rPr>
          <w:rFonts w:hint="eastAsia" w:ascii="宋体" w:hAnsi="宋体" w:eastAsia="宋体" w:cs="宋体"/>
          <w:color w:val="333333"/>
          <w:kern w:val="0"/>
          <w:sz w:val="24"/>
          <w:szCs w:val="24"/>
          <w:highlight w:val="none"/>
        </w:rPr>
      </w:pPr>
    </w:p>
    <w:tbl>
      <w:tblPr>
        <w:tblStyle w:val="3"/>
        <w:tblW w:w="9740" w:type="dxa"/>
        <w:jc w:val="center"/>
        <w:tblLayout w:type="autofit"/>
        <w:tblCellMar>
          <w:top w:w="0" w:type="dxa"/>
          <w:left w:w="0" w:type="dxa"/>
          <w:bottom w:w="0" w:type="dxa"/>
          <w:right w:w="0" w:type="dxa"/>
        </w:tblCellMar>
      </w:tblPr>
      <w:tblGrid>
        <w:gridCol w:w="2435"/>
        <w:gridCol w:w="2488"/>
        <w:gridCol w:w="2382"/>
        <w:gridCol w:w="2435"/>
      </w:tblGrid>
      <w:tr>
        <w:tblPrEx>
          <w:tblCellMar>
            <w:top w:w="0" w:type="dxa"/>
            <w:left w:w="0" w:type="dxa"/>
            <w:bottom w:w="0" w:type="dxa"/>
            <w:right w:w="0" w:type="dxa"/>
          </w:tblCellMar>
        </w:tblPrEx>
        <w:trPr>
          <w:trHeight w:val="427"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第二十条第（一）项</w:t>
            </w:r>
          </w:p>
        </w:tc>
      </w:tr>
      <w:tr>
        <w:tblPrEx>
          <w:tblCellMar>
            <w:top w:w="0" w:type="dxa"/>
            <w:left w:w="0" w:type="dxa"/>
            <w:bottom w:w="0" w:type="dxa"/>
            <w:right w:w="0" w:type="dxa"/>
          </w:tblCellMar>
        </w:tblPrEx>
        <w:trPr>
          <w:trHeight w:val="9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信息内容</w:t>
            </w:r>
          </w:p>
        </w:tc>
        <w:tc>
          <w:tcPr>
            <w:tcW w:w="24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本年</w:t>
            </w:r>
            <w:r>
              <w:rPr>
                <w:rFonts w:ascii="宋体" w:hAnsi="宋体" w:eastAsia="宋体" w:cs="宋体"/>
                <w:kern w:val="0"/>
                <w:sz w:val="20"/>
                <w:szCs w:val="20"/>
                <w:highlight w:val="none"/>
              </w:rPr>
              <w:t>制</w:t>
            </w:r>
            <w:r>
              <w:rPr>
                <w:rFonts w:hint="eastAsia" w:ascii="宋体" w:hAnsi="宋体" w:eastAsia="宋体" w:cs="宋体"/>
                <w:kern w:val="0"/>
                <w:sz w:val="20"/>
                <w:szCs w:val="20"/>
                <w:highlight w:val="none"/>
              </w:rPr>
              <w:t>发件</w:t>
            </w:r>
            <w:r>
              <w:rPr>
                <w:rFonts w:ascii="宋体" w:hAnsi="宋体" w:eastAsia="宋体" w:cs="宋体"/>
                <w:kern w:val="0"/>
                <w:sz w:val="20"/>
                <w:szCs w:val="20"/>
                <w:highlight w:val="none"/>
              </w:rPr>
              <w:t>数</w:t>
            </w:r>
          </w:p>
        </w:tc>
        <w:tc>
          <w:tcPr>
            <w:tcW w:w="2382"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本年废止件数</w:t>
            </w:r>
          </w:p>
        </w:tc>
        <w:tc>
          <w:tcPr>
            <w:tcW w:w="2435"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现行有效件</w:t>
            </w:r>
            <w:r>
              <w:rPr>
                <w:rFonts w:ascii="宋体" w:hAnsi="宋体" w:eastAsia="宋体" w:cs="宋体"/>
                <w:kern w:val="0"/>
                <w:sz w:val="20"/>
                <w:szCs w:val="20"/>
                <w:highlight w:val="none"/>
              </w:rPr>
              <w:t>数</w:t>
            </w:r>
          </w:p>
        </w:tc>
      </w:tr>
      <w:tr>
        <w:tblPrEx>
          <w:tblCellMar>
            <w:top w:w="0" w:type="dxa"/>
            <w:left w:w="0" w:type="dxa"/>
            <w:bottom w:w="0" w:type="dxa"/>
            <w:right w:w="0" w:type="dxa"/>
          </w:tblCellMar>
        </w:tblPrEx>
        <w:trPr>
          <w:trHeight w:val="385"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规章</w:t>
            </w:r>
          </w:p>
        </w:tc>
        <w:tc>
          <w:tcPr>
            <w:tcW w:w="24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　　</w:t>
            </w:r>
          </w:p>
        </w:tc>
        <w:tc>
          <w:tcPr>
            <w:tcW w:w="238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b/>
                <w:bCs/>
                <w:kern w:val="0"/>
                <w:sz w:val="24"/>
                <w:szCs w:val="24"/>
                <w:highlight w:val="none"/>
              </w:rPr>
            </w:pP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ascii="Calibri" w:hAnsi="Calibri" w:eastAsia="宋体" w:cs="宋体"/>
                <w:kern w:val="0"/>
                <w:szCs w:val="21"/>
                <w:highlight w:val="none"/>
              </w:rPr>
              <w:t> </w:t>
            </w:r>
          </w:p>
        </w:tc>
      </w:tr>
      <w:tr>
        <w:tblPrEx>
          <w:tblCellMar>
            <w:top w:w="0" w:type="dxa"/>
            <w:left w:w="0" w:type="dxa"/>
            <w:bottom w:w="0" w:type="dxa"/>
            <w:right w:w="0" w:type="dxa"/>
          </w:tblCellMar>
        </w:tblPrEx>
        <w:trPr>
          <w:trHeight w:val="385"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行政规范性文件</w:t>
            </w:r>
          </w:p>
        </w:tc>
        <w:tc>
          <w:tcPr>
            <w:tcW w:w="24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2</w:t>
            </w:r>
          </w:p>
        </w:tc>
        <w:tc>
          <w:tcPr>
            <w:tcW w:w="2382"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1</w:t>
            </w:r>
          </w:p>
        </w:tc>
        <w:tc>
          <w:tcPr>
            <w:tcW w:w="2435"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ascii="Calibri" w:hAnsi="Calibri" w:eastAsia="宋体" w:cs="宋体"/>
                <w:kern w:val="0"/>
                <w:szCs w:val="21"/>
                <w:highlight w:val="none"/>
              </w:rPr>
              <w:t> </w:t>
            </w:r>
          </w:p>
        </w:tc>
      </w:tr>
      <w:tr>
        <w:tblPrEx>
          <w:tblCellMar>
            <w:top w:w="0" w:type="dxa"/>
            <w:left w:w="0" w:type="dxa"/>
            <w:bottom w:w="0" w:type="dxa"/>
            <w:right w:w="0" w:type="dxa"/>
          </w:tblCellMar>
        </w:tblPrEx>
        <w:trPr>
          <w:trHeight w:val="415"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第二十条第（五）项</w:t>
            </w:r>
          </w:p>
        </w:tc>
      </w:tr>
      <w:tr>
        <w:tblPrEx>
          <w:tblCellMar>
            <w:top w:w="0" w:type="dxa"/>
            <w:left w:w="0" w:type="dxa"/>
            <w:bottom w:w="0" w:type="dxa"/>
            <w:right w:w="0" w:type="dxa"/>
          </w:tblCellMar>
        </w:tblPrEx>
        <w:trPr>
          <w:trHeight w:val="40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信息内容</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本年处理决定数量</w:t>
            </w:r>
          </w:p>
        </w:tc>
      </w:tr>
      <w:tr>
        <w:tblPrEx>
          <w:tblCellMar>
            <w:top w:w="0" w:type="dxa"/>
            <w:left w:w="0" w:type="dxa"/>
            <w:bottom w:w="0" w:type="dxa"/>
            <w:right w:w="0" w:type="dxa"/>
          </w:tblCellMar>
        </w:tblPrEx>
        <w:trPr>
          <w:trHeight w:val="37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行政许可</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第二十条第（六）项</w:t>
            </w:r>
          </w:p>
        </w:tc>
      </w:tr>
      <w:tr>
        <w:tblPrEx>
          <w:tblCellMar>
            <w:top w:w="0" w:type="dxa"/>
            <w:left w:w="0" w:type="dxa"/>
            <w:bottom w:w="0" w:type="dxa"/>
            <w:right w:w="0" w:type="dxa"/>
          </w:tblCellMar>
        </w:tblPrEx>
        <w:trPr>
          <w:trHeight w:val="46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信息内容</w:t>
            </w:r>
          </w:p>
        </w:tc>
        <w:tc>
          <w:tcPr>
            <w:tcW w:w="7305" w:type="dxa"/>
            <w:gridSpan w:val="3"/>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本年处理决定数量</w:t>
            </w:r>
          </w:p>
        </w:tc>
      </w:tr>
      <w:tr>
        <w:tblPrEx>
          <w:tblCellMar>
            <w:top w:w="0" w:type="dxa"/>
            <w:left w:w="0" w:type="dxa"/>
            <w:bottom w:w="0" w:type="dxa"/>
            <w:right w:w="0" w:type="dxa"/>
          </w:tblCellMar>
        </w:tblPrEx>
        <w:trPr>
          <w:trHeight w:val="415"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行政处罚</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0</w:t>
            </w:r>
          </w:p>
        </w:tc>
      </w:tr>
      <w:tr>
        <w:tblPrEx>
          <w:tblCellMar>
            <w:top w:w="0" w:type="dxa"/>
            <w:left w:w="0" w:type="dxa"/>
            <w:bottom w:w="0" w:type="dxa"/>
            <w:right w:w="0" w:type="dxa"/>
          </w:tblCellMar>
        </w:tblPrEx>
        <w:trPr>
          <w:trHeight w:val="43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行政强制</w:t>
            </w:r>
          </w:p>
        </w:tc>
        <w:tc>
          <w:tcPr>
            <w:tcW w:w="7305" w:type="dxa"/>
            <w:gridSpan w:val="3"/>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0</w:t>
            </w:r>
          </w:p>
        </w:tc>
      </w:tr>
      <w:tr>
        <w:tblPrEx>
          <w:tblCellMar>
            <w:top w:w="0" w:type="dxa"/>
            <w:left w:w="0" w:type="dxa"/>
            <w:bottom w:w="0" w:type="dxa"/>
            <w:right w:w="0" w:type="dxa"/>
          </w:tblCellMar>
        </w:tblPrEx>
        <w:trPr>
          <w:trHeight w:val="4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第二十条第（八）项</w:t>
            </w:r>
          </w:p>
        </w:tc>
      </w:tr>
      <w:tr>
        <w:tblPrEx>
          <w:tblCellMar>
            <w:top w:w="0" w:type="dxa"/>
            <w:left w:w="0" w:type="dxa"/>
            <w:bottom w:w="0" w:type="dxa"/>
            <w:right w:w="0" w:type="dxa"/>
          </w:tblCellMar>
        </w:tblPrEx>
        <w:trPr>
          <w:trHeight w:val="385"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信息内容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ascii="宋体" w:hAnsi="宋体" w:eastAsia="宋体" w:cs="宋体"/>
                <w:b w:val="0"/>
                <w:bCs w:val="0"/>
                <w:kern w:val="0"/>
                <w:sz w:val="24"/>
                <w:szCs w:val="24"/>
                <w:highlight w:val="none"/>
              </w:rPr>
            </w:pPr>
            <w:r>
              <w:rPr>
                <w:rFonts w:hint="eastAsia" w:ascii="宋体" w:hAnsi="宋体" w:eastAsia="宋体" w:cs="宋体"/>
                <w:b w:val="0"/>
                <w:bCs w:val="0"/>
                <w:color w:val="000000"/>
                <w:kern w:val="0"/>
                <w:sz w:val="20"/>
                <w:szCs w:val="20"/>
                <w:highlight w:val="none"/>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行政事业性收费</w:t>
            </w:r>
          </w:p>
        </w:tc>
        <w:tc>
          <w:tcPr>
            <w:tcW w:w="7305" w:type="dxa"/>
            <w:gridSpan w:val="3"/>
            <w:tcBorders>
              <w:top w:val="nil"/>
              <w:left w:val="nil"/>
              <w:bottom w:val="single" w:color="auto" w:sz="8" w:space="0"/>
              <w:right w:val="single" w:color="000000" w:sz="8" w:space="0"/>
            </w:tcBorders>
            <w:tcMar>
              <w:top w:w="0" w:type="dxa"/>
              <w:left w:w="57" w:type="dxa"/>
              <w:bottom w:w="0" w:type="dxa"/>
              <w:right w:w="57" w:type="dxa"/>
            </w:tcMar>
            <w:vAlign w:val="center"/>
          </w:tcPr>
          <w:p>
            <w:pPr>
              <w:widowControl/>
              <w:jc w:val="center"/>
              <w:rPr>
                <w:rFonts w:hint="eastAsia" w:ascii="宋体" w:hAnsi="宋体" w:eastAsia="宋体" w:cs="宋体"/>
                <w:b/>
                <w:bCs/>
                <w:kern w:val="0"/>
                <w:sz w:val="24"/>
                <w:szCs w:val="24"/>
                <w:highlight w:val="none"/>
                <w:lang w:val="en-US" w:eastAsia="zh-CN"/>
              </w:rPr>
            </w:pPr>
            <w:r>
              <w:rPr>
                <w:rFonts w:hint="eastAsia" w:ascii="宋体" w:hAnsi="宋体" w:eastAsia="宋体" w:cs="宋体"/>
                <w:b/>
                <w:bCs/>
                <w:kern w:val="0"/>
                <w:sz w:val="24"/>
                <w:szCs w:val="24"/>
                <w:highlight w:val="none"/>
                <w:lang w:val="en-US" w:eastAsia="zh-CN"/>
              </w:rPr>
              <w:t>0</w:t>
            </w:r>
          </w:p>
        </w:tc>
      </w:tr>
    </w:tbl>
    <w:p>
      <w:pPr>
        <w:widowControl/>
        <w:shd w:val="clear" w:color="auto" w:fill="FFFFFF"/>
        <w:ind w:firstLine="640" w:firstLineChars="200"/>
        <w:rPr>
          <w:rFonts w:ascii="宋体" w:hAnsi="宋体" w:eastAsia="宋体" w:cs="宋体"/>
          <w:b w:val="0"/>
          <w:bCs w:val="0"/>
          <w:color w:val="auto"/>
          <w:kern w:val="0"/>
          <w:sz w:val="24"/>
          <w:szCs w:val="24"/>
          <w:highlight w:val="none"/>
        </w:rPr>
      </w:pPr>
      <w:r>
        <w:rPr>
          <w:rFonts w:hint="eastAsia" w:ascii="黑体" w:hAnsi="黑体" w:eastAsia="黑体" w:cs="黑体"/>
          <w:b w:val="0"/>
          <w:bCs w:val="0"/>
          <w:color w:val="auto"/>
          <w:kern w:val="0"/>
          <w:sz w:val="32"/>
          <w:szCs w:val="32"/>
          <w:highlight w:val="none"/>
        </w:rPr>
        <w:t>三、收到和处理政府信息公开申请情况</w:t>
      </w:r>
    </w:p>
    <w:p>
      <w:pPr>
        <w:widowControl/>
        <w:shd w:val="clear" w:color="auto" w:fill="FFFFFF"/>
        <w:ind w:firstLine="480"/>
        <w:rPr>
          <w:rFonts w:hint="eastAsia" w:ascii="宋体" w:hAnsi="宋体" w:eastAsia="宋体" w:cs="宋体"/>
          <w:color w:val="333333"/>
          <w:kern w:val="0"/>
          <w:sz w:val="24"/>
          <w:szCs w:val="24"/>
          <w:highlight w:val="none"/>
        </w:rPr>
      </w:pPr>
    </w:p>
    <w:tbl>
      <w:tblPr>
        <w:tblStyle w:val="3"/>
        <w:tblW w:w="9748" w:type="dxa"/>
        <w:jc w:val="center"/>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highlight w:val="none"/>
              </w:rPr>
            </w:pPr>
            <w:r>
              <w:rPr>
                <w:rFonts w:hint="eastAsia" w:ascii="楷体" w:hAnsi="楷体" w:eastAsia="楷体" w:cs="宋体"/>
                <w:kern w:val="0"/>
                <w:sz w:val="20"/>
                <w:szCs w:val="20"/>
                <w:highlight w:val="none"/>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申请人情况</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688" w:type="dxa"/>
            <w:vMerge w:val="restart"/>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自然人</w:t>
            </w:r>
          </w:p>
        </w:tc>
        <w:tc>
          <w:tcPr>
            <w:tcW w:w="3440" w:type="dxa"/>
            <w:gridSpan w:val="5"/>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法人或其他组织</w:t>
            </w:r>
          </w:p>
        </w:tc>
        <w:tc>
          <w:tcPr>
            <w:tcW w:w="689" w:type="dxa"/>
            <w:vMerge w:val="restart"/>
            <w:tcBorders>
              <w:top w:val="single"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总计</w:t>
            </w:r>
          </w:p>
        </w:tc>
      </w:tr>
      <w:tr>
        <w:tblPrEx>
          <w:tblCellMar>
            <w:top w:w="0" w:type="dxa"/>
            <w:left w:w="0" w:type="dxa"/>
            <w:bottom w:w="0" w:type="dxa"/>
            <w:right w:w="0" w:type="dxa"/>
          </w:tblCellMar>
        </w:tblPrEx>
        <w:trPr>
          <w:jc w:val="center"/>
        </w:trPr>
        <w:tc>
          <w:tcPr>
            <w:tcW w:w="0" w:type="auto"/>
            <w:gridSpan w:val="3"/>
            <w:vMerge w:val="continue"/>
            <w:tcBorders>
              <w:top w:val="single" w:color="auto" w:sz="8" w:space="0"/>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商业</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企业</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科研</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社会公益组织</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法律服务机构</w:t>
            </w:r>
          </w:p>
        </w:tc>
        <w:tc>
          <w:tcPr>
            <w:tcW w:w="688"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其他</w:t>
            </w:r>
          </w:p>
        </w:tc>
        <w:tc>
          <w:tcPr>
            <w:tcW w:w="689" w:type="dxa"/>
            <w:vMerge w:val="continue"/>
            <w:tcBorders>
              <w:top w:val="single" w:color="auto" w:sz="8" w:space="0"/>
              <w:left w:val="nil"/>
              <w:bottom w:val="inset" w:color="auto" w:sz="8" w:space="0"/>
              <w:right w:val="single" w:color="auto" w:sz="8" w:space="0"/>
            </w:tcBorders>
            <w:vAlign w:val="center"/>
          </w:tcPr>
          <w:p>
            <w:pPr>
              <w:widowControl/>
              <w:jc w:val="center"/>
              <w:rPr>
                <w:rFonts w:ascii="宋体" w:hAnsi="宋体" w:eastAsia="宋体" w:cs="宋体"/>
                <w:kern w:val="0"/>
                <w:sz w:val="24"/>
                <w:szCs w:val="24"/>
                <w:highlight w:val="none"/>
              </w:rPr>
            </w:pPr>
          </w:p>
        </w:tc>
      </w:tr>
      <w:tr>
        <w:tblPrEx>
          <w:tblCellMar>
            <w:top w:w="0" w:type="dxa"/>
            <w:left w:w="0" w:type="dxa"/>
            <w:bottom w:w="0" w:type="dxa"/>
            <w:right w:w="0" w:type="dxa"/>
          </w:tblCellMar>
        </w:tblPrEx>
        <w:trPr>
          <w:trHeight w:val="372"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一、本年新收政府信息公开申请数量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default" w:ascii="Calibri" w:hAnsi="Calibri" w:eastAsia="宋体" w:cs="宋体"/>
                <w:kern w:val="0"/>
                <w:sz w:val="20"/>
                <w:szCs w:val="20"/>
                <w:highlight w:val="none"/>
                <w:lang w:val="en-US" w:eastAsia="zh-CN" w:bidi="ar-SA"/>
              </w:rPr>
            </w:pPr>
            <w:r>
              <w:rPr>
                <w:rFonts w:hint="eastAsia" w:ascii="Calibri" w:hAnsi="Calibri" w:eastAsia="宋体" w:cs="宋体"/>
                <w:kern w:val="0"/>
                <w:sz w:val="20"/>
                <w:szCs w:val="20"/>
                <w:highlight w:val="none"/>
                <w:lang w:val="en-US" w:eastAsia="zh-CN" w:bidi="ar-SA"/>
              </w:rPr>
              <w:t>4</w:t>
            </w:r>
          </w:p>
        </w:tc>
      </w:tr>
      <w:tr>
        <w:tblPrEx>
          <w:tblCellMar>
            <w:top w:w="0" w:type="dxa"/>
            <w:left w:w="0" w:type="dxa"/>
            <w:bottom w:w="0" w:type="dxa"/>
            <w:right w:w="0" w:type="dxa"/>
          </w:tblCellMar>
        </w:tblPrEx>
        <w:trPr>
          <w:trHeight w:val="402"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二、上年结转政府信息公开申请数量</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Calibri" w:hAnsi="Calibri" w:eastAsia="宋体" w:cs="宋体"/>
                <w:kern w:val="0"/>
                <w:sz w:val="20"/>
                <w:szCs w:val="20"/>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trHeight w:val="447" w:hRule="atLeast"/>
          <w:jc w:val="center"/>
        </w:trPr>
        <w:tc>
          <w:tcPr>
            <w:tcW w:w="768" w:type="dxa"/>
            <w:vMerge w:val="restart"/>
            <w:tcBorders>
              <w:top w:val="nil"/>
              <w:left w:val="single" w:color="auto" w:sz="8" w:space="0"/>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三、本年度办理结果</w:t>
            </w: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（一）予以公开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1</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Calibri" w:hAnsi="Calibri" w:eastAsia="宋体" w:cs="宋体"/>
                <w:kern w:val="0"/>
                <w:sz w:val="20"/>
                <w:szCs w:val="20"/>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（二）部分公开</w:t>
            </w:r>
            <w:r>
              <w:rPr>
                <w:rFonts w:hint="eastAsia" w:ascii="楷体" w:hAnsi="楷体" w:eastAsia="楷体" w:cs="宋体"/>
                <w:kern w:val="0"/>
                <w:sz w:val="20"/>
                <w:szCs w:val="20"/>
                <w:highlight w:val="none"/>
              </w:rPr>
              <w:t>（区分处理的，只计这一情形，不计其他情形）</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Calibri" w:hAnsi="Calibri" w:eastAsia="宋体" w:cs="宋体"/>
                <w:kern w:val="0"/>
                <w:sz w:val="20"/>
                <w:szCs w:val="20"/>
                <w:highlight w:val="none"/>
                <w:lang w:val="en-US" w:eastAsia="zh-CN"/>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trHeight w:val="357"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（三）不予公开</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1.属于国家秘密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single" w:color="auto" w:sz="8" w:space="0"/>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2.其他法律行政法规禁止公开</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hint="eastAsia" w:ascii="宋体" w:hAnsi="宋体" w:eastAsia="宋体" w:cs="宋体"/>
                <w:kern w:val="0"/>
                <w:sz w:val="24"/>
                <w:szCs w:val="24"/>
                <w:highlight w:val="none"/>
                <w:lang w:eastAsia="zh-CN"/>
              </w:rPr>
            </w:pPr>
            <w:r>
              <w:rPr>
                <w:rFonts w:hint="eastAsia" w:ascii="宋体" w:hAnsi="宋体" w:eastAsia="宋体" w:cs="宋体"/>
                <w:kern w:val="0"/>
                <w:sz w:val="20"/>
                <w:szCs w:val="20"/>
                <w:highlight w:val="none"/>
              </w:rPr>
              <w:t>3.危及</w:t>
            </w:r>
            <w:r>
              <w:rPr>
                <w:rFonts w:hint="eastAsia" w:ascii="宋体" w:hAnsi="宋体" w:eastAsia="宋体" w:cs="宋体"/>
                <w:kern w:val="0"/>
                <w:sz w:val="20"/>
                <w:szCs w:val="20"/>
                <w:highlight w:val="none"/>
                <w:lang w:eastAsia="zh-CN"/>
              </w:rPr>
              <w:t>“</w:t>
            </w:r>
            <w:r>
              <w:rPr>
                <w:rFonts w:hint="eastAsia" w:ascii="宋体" w:hAnsi="宋体" w:eastAsia="宋体" w:cs="宋体"/>
                <w:kern w:val="0"/>
                <w:sz w:val="20"/>
                <w:szCs w:val="20"/>
                <w:highlight w:val="none"/>
              </w:rPr>
              <w:t>三安全一稳定</w:t>
            </w:r>
            <w:r>
              <w:rPr>
                <w:rFonts w:hint="eastAsia" w:ascii="宋体" w:hAnsi="宋体" w:eastAsia="宋体" w:cs="宋体"/>
                <w:kern w:val="0"/>
                <w:sz w:val="20"/>
                <w:szCs w:val="20"/>
                <w:highlight w:val="none"/>
                <w:lang w:eastAsia="zh-CN"/>
              </w:rPr>
              <w:t>”</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4.保护第三方合法权益</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5.属于三类内部事务信息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6.属于四类过程性信息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7.属于行政执法案卷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8.属于行政查询事项</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（四）无法提供</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1.本机关不掌握相关政府信息</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3</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2.没有现成信息需要另行制作</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3.补正后申请内容仍不明确</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943" w:type="dxa"/>
            <w:vMerge w:val="restart"/>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（五）不予处理</w:t>
            </w: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1.信访举报投诉类申请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2.重复申请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3.要求提供公开出版物</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4.无正当理由大量反复申请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trHeight w:val="779"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highlight w:val="none"/>
              </w:rPr>
            </w:pPr>
            <w:r>
              <w:rPr>
                <w:rFonts w:hint="eastAsia" w:ascii="宋体" w:hAnsi="宋体" w:eastAsia="宋体" w:cs="宋体"/>
                <w:kern w:val="0"/>
                <w:sz w:val="20"/>
                <w:szCs w:val="20"/>
                <w:highlight w:val="none"/>
              </w:rPr>
              <w:t>5.要求行政机关确认或重新出具已获取信息</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inset"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943" w:type="dxa"/>
            <w:vMerge w:val="restart"/>
            <w:tcBorders>
              <w:top w:val="inset" w:color="auto" w:sz="8" w:space="0"/>
              <w:left w:val="nil"/>
              <w:bottom w:val="inset"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（六）其他处理</w:t>
            </w: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highlight w:val="none"/>
              </w:rPr>
            </w:pPr>
            <w:r>
              <w:rPr>
                <w:rFonts w:hint="eastAsia" w:ascii="宋体" w:hAnsi="宋体" w:eastAsia="宋体" w:cs="宋体"/>
                <w:kern w:val="0"/>
                <w:sz w:val="20"/>
                <w:szCs w:val="20"/>
                <w:highlight w:val="none"/>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rPr>
                <w:rFonts w:ascii="宋体" w:hAnsi="宋体" w:eastAsia="宋体" w:cs="宋体"/>
                <w:kern w:val="0"/>
                <w:sz w:val="24"/>
                <w:szCs w:val="24"/>
                <w:highlight w:val="none"/>
              </w:rPr>
            </w:pPr>
            <w:r>
              <w:rPr>
                <w:rFonts w:hint="eastAsia" w:ascii="宋体" w:hAnsi="宋体" w:eastAsia="宋体" w:cs="宋体"/>
                <w:kern w:val="0"/>
                <w:sz w:val="20"/>
                <w:szCs w:val="20"/>
                <w:highlight w:val="none"/>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trHeight w:val="402"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inset" w:color="auto" w:sz="8" w:space="0"/>
              <w:left w:val="nil"/>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3220"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3.其他</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r>
        <w:tblPrEx>
          <w:tblCellMar>
            <w:top w:w="0" w:type="dxa"/>
            <w:left w:w="0" w:type="dxa"/>
            <w:bottom w:w="0" w:type="dxa"/>
            <w:right w:w="0" w:type="dxa"/>
          </w:tblCellMar>
        </w:tblPrEx>
        <w:trPr>
          <w:trHeight w:val="417" w:hRule="atLeast"/>
          <w:jc w:val="center"/>
        </w:trPr>
        <w:tc>
          <w:tcPr>
            <w:tcW w:w="0" w:type="auto"/>
            <w:vMerge w:val="continue"/>
            <w:tcBorders>
              <w:top w:val="nil"/>
              <w:left w:val="single" w:color="auto" w:sz="8" w:space="0"/>
              <w:bottom w:val="inset"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4163" w:type="dxa"/>
            <w:gridSpan w:val="2"/>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（七）总计</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4</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tcPr>
          <w:p>
            <w:pPr>
              <w:widowControl/>
              <w:jc w:val="center"/>
              <w:rPr>
                <w:rFonts w:hint="eastAsia" w:ascii="宋体" w:hAnsi="宋体" w:eastAsia="宋体" w:cs="宋体"/>
                <w:kern w:val="0"/>
                <w:sz w:val="24"/>
                <w:szCs w:val="24"/>
                <w:highlight w:val="none"/>
                <w:lang w:val="en-US" w:eastAsia="zh-CN"/>
              </w:rPr>
            </w:pPr>
            <w:r>
              <w:rPr>
                <w:rFonts w:hint="eastAsia" w:ascii="宋体" w:hAnsi="宋体" w:eastAsia="宋体" w:cs="宋体"/>
                <w:kern w:val="0"/>
                <w:sz w:val="24"/>
                <w:szCs w:val="24"/>
                <w:highlight w:val="none"/>
                <w:lang w:val="en-US" w:eastAsia="zh-CN"/>
              </w:rPr>
              <w:t>4</w:t>
            </w:r>
          </w:p>
        </w:tc>
      </w:tr>
      <w:tr>
        <w:tblPrEx>
          <w:tblCellMar>
            <w:top w:w="0" w:type="dxa"/>
            <w:left w:w="0" w:type="dxa"/>
            <w:bottom w:w="0" w:type="dxa"/>
            <w:right w:w="0" w:type="dxa"/>
          </w:tblCellMar>
        </w:tblPrEx>
        <w:trPr>
          <w:trHeight w:val="437" w:hRule="atLeast"/>
          <w:jc w:val="center"/>
        </w:trPr>
        <w:tc>
          <w:tcPr>
            <w:tcW w:w="4931" w:type="dxa"/>
            <w:gridSpan w:val="3"/>
            <w:tcBorders>
              <w:top w:val="nil"/>
              <w:left w:val="single" w:color="auto" w:sz="8" w:space="0"/>
              <w:bottom w:val="single" w:color="auto" w:sz="8" w:space="0"/>
              <w:right w:val="single" w:color="auto" w:sz="8" w:space="0"/>
            </w:tcBorders>
            <w:tcMar>
              <w:top w:w="0" w:type="dxa"/>
              <w:left w:w="57" w:type="dxa"/>
              <w:bottom w:w="0" w:type="dxa"/>
              <w:right w:w="57" w:type="dxa"/>
            </w:tcMar>
            <w:vAlign w:val="center"/>
          </w:tcPr>
          <w:p>
            <w:pPr>
              <w:widowControl/>
              <w:jc w:val="left"/>
              <w:rPr>
                <w:rFonts w:ascii="宋体" w:hAnsi="宋体" w:eastAsia="宋体" w:cs="宋体"/>
                <w:kern w:val="0"/>
                <w:sz w:val="24"/>
                <w:szCs w:val="24"/>
                <w:highlight w:val="none"/>
              </w:rPr>
            </w:pPr>
            <w:r>
              <w:rPr>
                <w:rFonts w:hint="eastAsia" w:ascii="宋体" w:hAnsi="宋体" w:eastAsia="宋体" w:cs="宋体"/>
                <w:kern w:val="0"/>
                <w:sz w:val="20"/>
                <w:szCs w:val="20"/>
                <w:highlight w:val="none"/>
              </w:rPr>
              <w:t>四、结转下年度继续办理</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88"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ascii="宋体" w:hAnsi="宋体" w:eastAsia="宋体" w:cs="宋体"/>
                <w:kern w:val="0"/>
                <w:sz w:val="24"/>
                <w:szCs w:val="24"/>
                <w:highlight w:val="none"/>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89" w:type="dxa"/>
            <w:tcBorders>
              <w:top w:val="nil"/>
              <w:left w:val="nil"/>
              <w:bottom w:val="single" w:color="auto" w:sz="8" w:space="0"/>
              <w:right w:val="single" w:color="auto" w:sz="8" w:space="0"/>
            </w:tcBorders>
            <w:tcMar>
              <w:top w:w="0" w:type="dxa"/>
              <w:left w:w="57" w:type="dxa"/>
              <w:bottom w:w="0" w:type="dxa"/>
              <w:right w:w="57" w:type="dxa"/>
            </w:tcMar>
            <w:vAlign w:val="center"/>
          </w:tcPr>
          <w:p>
            <w:pPr>
              <w:widowControl/>
              <w:jc w:val="center"/>
              <w:rPr>
                <w:rFonts w:hint="eastAsia" w:ascii="宋体" w:hAnsi="宋体" w:eastAsia="宋体" w:cs="宋体"/>
                <w:kern w:val="0"/>
                <w:sz w:val="24"/>
                <w:szCs w:val="24"/>
                <w:highlight w:val="none"/>
                <w:lang w:val="en-US" w:eastAsia="zh-CN"/>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bl>
    <w:p>
      <w:pPr>
        <w:widowControl/>
        <w:shd w:val="clear" w:color="auto" w:fill="FFFFFF"/>
        <w:jc w:val="center"/>
        <w:rPr>
          <w:rFonts w:hint="eastAsia" w:ascii="宋体" w:hAnsi="宋体" w:eastAsia="宋体" w:cs="宋体"/>
          <w:color w:val="333333"/>
          <w:kern w:val="0"/>
          <w:sz w:val="24"/>
          <w:szCs w:val="24"/>
          <w:highlight w:val="none"/>
        </w:rPr>
      </w:pPr>
    </w:p>
    <w:p>
      <w:pPr>
        <w:widowControl/>
        <w:shd w:val="clear" w:color="auto" w:fill="FFFFFF"/>
        <w:ind w:firstLine="480"/>
        <w:rPr>
          <w:rFonts w:hint="eastAsia" w:ascii="宋体" w:hAnsi="宋体" w:eastAsia="宋体" w:cs="宋体"/>
          <w:b w:val="0"/>
          <w:bCs w:val="0"/>
          <w:color w:val="333333"/>
          <w:kern w:val="0"/>
          <w:sz w:val="24"/>
          <w:szCs w:val="24"/>
          <w:highlight w:val="none"/>
        </w:rPr>
      </w:pPr>
      <w:r>
        <w:rPr>
          <w:rFonts w:hint="eastAsia" w:ascii="黑体" w:hAnsi="黑体" w:eastAsia="黑体" w:cs="黑体"/>
          <w:b w:val="0"/>
          <w:bCs w:val="0"/>
          <w:color w:val="333333"/>
          <w:kern w:val="0"/>
          <w:sz w:val="32"/>
          <w:szCs w:val="32"/>
          <w:highlight w:val="none"/>
        </w:rPr>
        <w:t>四、政府</w:t>
      </w:r>
      <w:bookmarkStart w:id="0" w:name="_GoBack"/>
      <w:r>
        <w:rPr>
          <w:rFonts w:hint="eastAsia" w:ascii="黑体" w:hAnsi="黑体" w:eastAsia="黑体" w:cs="黑体"/>
          <w:b w:val="0"/>
          <w:bCs w:val="0"/>
          <w:color w:val="333333"/>
          <w:kern w:val="0"/>
          <w:sz w:val="32"/>
          <w:szCs w:val="32"/>
          <w:highlight w:val="none"/>
        </w:rPr>
        <w:t>信息公</w:t>
      </w:r>
      <w:bookmarkEnd w:id="0"/>
      <w:r>
        <w:rPr>
          <w:rFonts w:hint="eastAsia" w:ascii="黑体" w:hAnsi="黑体" w:eastAsia="黑体" w:cs="黑体"/>
          <w:b w:val="0"/>
          <w:bCs w:val="0"/>
          <w:color w:val="333333"/>
          <w:kern w:val="0"/>
          <w:sz w:val="32"/>
          <w:szCs w:val="32"/>
          <w:highlight w:val="none"/>
        </w:rPr>
        <w:t>开行政复议、行政诉讼情况</w:t>
      </w:r>
    </w:p>
    <w:p>
      <w:pPr>
        <w:widowControl/>
        <w:shd w:val="clear" w:color="auto" w:fill="FFFFFF"/>
        <w:jc w:val="center"/>
        <w:rPr>
          <w:rFonts w:hint="eastAsia" w:ascii="宋体" w:hAnsi="宋体" w:eastAsia="宋体" w:cs="宋体"/>
          <w:color w:val="333333"/>
          <w:kern w:val="0"/>
          <w:sz w:val="24"/>
          <w:szCs w:val="24"/>
          <w:highlight w:val="none"/>
        </w:rPr>
      </w:pPr>
    </w:p>
    <w:tbl>
      <w:tblPr>
        <w:tblStyle w:val="3"/>
        <w:tblW w:w="9748" w:type="dxa"/>
        <w:jc w:val="center"/>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CellMar>
            <w:top w:w="0" w:type="dxa"/>
            <w:left w:w="0" w:type="dxa"/>
            <w:bottom w:w="0" w:type="dxa"/>
            <w:right w:w="0" w:type="dxa"/>
          </w:tblCellMar>
        </w:tblPrEx>
        <w:trPr>
          <w:trHeight w:val="482" w:hRule="atLeast"/>
          <w:jc w:val="center"/>
        </w:trPr>
        <w:tc>
          <w:tcPr>
            <w:tcW w:w="324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行政复议</w:t>
            </w:r>
          </w:p>
        </w:tc>
        <w:tc>
          <w:tcPr>
            <w:tcW w:w="6503" w:type="dxa"/>
            <w:gridSpan w:val="10"/>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行政诉讼</w:t>
            </w:r>
          </w:p>
        </w:tc>
      </w:tr>
      <w:tr>
        <w:tblPrEx>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结果维持</w:t>
            </w:r>
          </w:p>
        </w:tc>
        <w:tc>
          <w:tcPr>
            <w:tcW w:w="649"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结果</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纠正</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其他</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结果</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尚未</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审结</w:t>
            </w:r>
          </w:p>
        </w:tc>
        <w:tc>
          <w:tcPr>
            <w:tcW w:w="649"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总计</w:t>
            </w:r>
          </w:p>
        </w:tc>
        <w:tc>
          <w:tcPr>
            <w:tcW w:w="3248"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highlight w:val="none"/>
              </w:rPr>
            </w:pP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结果</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维持</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结果</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纠正</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其他</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结果</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尚未</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审结</w:t>
            </w:r>
          </w:p>
        </w:tc>
        <w:tc>
          <w:tcPr>
            <w:tcW w:w="650"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总计</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结果</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维持</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结果</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纠正</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color w:val="000000"/>
                <w:kern w:val="0"/>
                <w:sz w:val="20"/>
                <w:szCs w:val="20"/>
                <w:highlight w:val="none"/>
                <w:lang w:eastAsia="zh-CN"/>
              </w:rPr>
            </w:pPr>
            <w:r>
              <w:rPr>
                <w:rFonts w:hint="eastAsia" w:ascii="宋体" w:hAnsi="宋体" w:eastAsia="宋体" w:cs="宋体"/>
                <w:color w:val="000000"/>
                <w:kern w:val="0"/>
                <w:sz w:val="20"/>
                <w:szCs w:val="20"/>
                <w:highlight w:val="none"/>
              </w:rPr>
              <w:t>其他</w:t>
            </w:r>
          </w:p>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结果</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highlight w:val="none"/>
                <w:lang w:eastAsia="zh-CN"/>
              </w:rPr>
            </w:pPr>
            <w:r>
              <w:rPr>
                <w:rFonts w:hint="eastAsia" w:ascii="宋体" w:hAnsi="宋体" w:eastAsia="宋体" w:cs="宋体"/>
                <w:kern w:val="0"/>
                <w:sz w:val="20"/>
                <w:szCs w:val="20"/>
                <w:highlight w:val="none"/>
              </w:rPr>
              <w:t>尚未</w:t>
            </w:r>
          </w:p>
          <w:p>
            <w:pPr>
              <w:widowControl/>
              <w:jc w:val="center"/>
              <w:rPr>
                <w:rFonts w:ascii="宋体" w:hAnsi="宋体" w:eastAsia="宋体" w:cs="宋体"/>
                <w:kern w:val="0"/>
                <w:sz w:val="24"/>
                <w:szCs w:val="24"/>
                <w:highlight w:val="none"/>
              </w:rPr>
            </w:pPr>
            <w:r>
              <w:rPr>
                <w:rFonts w:hint="eastAsia" w:ascii="宋体" w:hAnsi="宋体" w:eastAsia="宋体" w:cs="宋体"/>
                <w:kern w:val="0"/>
                <w:sz w:val="20"/>
                <w:szCs w:val="20"/>
                <w:highlight w:val="none"/>
              </w:rPr>
              <w:t>审结</w:t>
            </w:r>
          </w:p>
        </w:tc>
        <w:tc>
          <w:tcPr>
            <w:tcW w:w="651"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rPr>
            </w:pPr>
            <w:r>
              <w:rPr>
                <w:rFonts w:hint="eastAsia" w:ascii="宋体" w:hAnsi="宋体" w:eastAsia="宋体" w:cs="宋体"/>
                <w:color w:val="000000"/>
                <w:kern w:val="0"/>
                <w:sz w:val="20"/>
                <w:szCs w:val="20"/>
                <w:highlight w:val="none"/>
              </w:rPr>
              <w:t>总计</w:t>
            </w:r>
          </w:p>
        </w:tc>
      </w:tr>
      <w:tr>
        <w:tblPrEx>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default"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49"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50"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ascii="Calibri" w:hAnsi="Calibri" w:eastAsia="宋体" w:cs="宋体"/>
                <w:kern w:val="0"/>
                <w:sz w:val="20"/>
                <w:szCs w:val="20"/>
                <w:highlight w:val="none"/>
              </w:rPr>
              <w:t> </w:t>
            </w:r>
            <w:r>
              <w:rPr>
                <w:rFonts w:hint="eastAsia" w:ascii="Calibri" w:hAnsi="Calibri" w:eastAsia="宋体" w:cs="宋体"/>
                <w:kern w:val="0"/>
                <w:sz w:val="20"/>
                <w:szCs w:val="20"/>
                <w:highlight w:val="none"/>
                <w:lang w:val="en-US" w:eastAsia="zh-CN"/>
              </w:rPr>
              <w:t>0</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c>
          <w:tcPr>
            <w:tcW w:w="651"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highlight w:val="none"/>
                <w:lang w:val="en-US" w:eastAsia="zh-CN" w:bidi="ar-SA"/>
              </w:rPr>
            </w:pPr>
            <w:r>
              <w:rPr>
                <w:rFonts w:hint="eastAsia" w:ascii="Calibri" w:hAnsi="Calibri" w:eastAsia="宋体" w:cs="宋体"/>
                <w:kern w:val="0"/>
                <w:sz w:val="20"/>
                <w:szCs w:val="20"/>
                <w:highlight w:val="none"/>
                <w:lang w:val="en-US" w:eastAsia="zh-CN"/>
              </w:rPr>
              <w:t>0</w:t>
            </w:r>
            <w:r>
              <w:rPr>
                <w:rFonts w:ascii="Calibri" w:hAnsi="Calibri" w:eastAsia="宋体" w:cs="宋体"/>
                <w:kern w:val="0"/>
                <w:sz w:val="20"/>
                <w:szCs w:val="20"/>
                <w:highlight w:val="none"/>
              </w:rPr>
              <w:t> </w:t>
            </w:r>
          </w:p>
        </w:tc>
      </w:tr>
    </w:tbl>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黑体" w:cs="Times New Roman"/>
          <w:bCs/>
          <w:kern w:val="0"/>
          <w:sz w:val="32"/>
          <w:szCs w:val="32"/>
          <w:highlight w:val="none"/>
          <w:lang w:val="en-US" w:eastAsia="zh-CN"/>
        </w:rPr>
      </w:pPr>
    </w:p>
    <w:p>
      <w:pPr>
        <w:keepNext w:val="0"/>
        <w:keepLines w:val="0"/>
        <w:pageBreakBefore w:val="0"/>
        <w:widowControl/>
        <w:kinsoku/>
        <w:wordWrap/>
        <w:overflowPunct/>
        <w:topLinePunct w:val="0"/>
        <w:autoSpaceDE/>
        <w:autoSpaceDN/>
        <w:bidi w:val="0"/>
        <w:adjustRightInd/>
        <w:snapToGrid/>
        <w:spacing w:line="400" w:lineRule="exact"/>
        <w:ind w:firstLine="640" w:firstLineChars="200"/>
        <w:jc w:val="left"/>
        <w:textAlignment w:val="auto"/>
        <w:rPr>
          <w:rFonts w:hint="default" w:ascii="Times New Roman" w:hAnsi="Times New Roman" w:eastAsia="黑体" w:cs="Times New Roman"/>
          <w:b w:val="0"/>
          <w:bCs/>
          <w:kern w:val="0"/>
          <w:sz w:val="32"/>
          <w:szCs w:val="32"/>
          <w:highlight w:val="none"/>
        </w:rPr>
      </w:pPr>
      <w:r>
        <w:rPr>
          <w:rFonts w:hint="default" w:ascii="Times New Roman" w:hAnsi="Times New Roman" w:eastAsia="黑体" w:cs="Times New Roman"/>
          <w:b w:val="0"/>
          <w:bCs/>
          <w:kern w:val="0"/>
          <w:sz w:val="32"/>
          <w:szCs w:val="32"/>
          <w:highlight w:val="none"/>
          <w:lang w:val="en-US" w:eastAsia="zh-CN"/>
        </w:rPr>
        <w:t>五、</w:t>
      </w:r>
      <w:r>
        <w:rPr>
          <w:rFonts w:hint="default" w:ascii="Times New Roman" w:hAnsi="Times New Roman" w:eastAsia="黑体" w:cs="Times New Roman"/>
          <w:b w:val="0"/>
          <w:bCs/>
          <w:kern w:val="0"/>
          <w:sz w:val="32"/>
          <w:szCs w:val="32"/>
          <w:highlight w:val="none"/>
        </w:rPr>
        <w:t>存在的主要问题及改进情况</w:t>
      </w:r>
    </w:p>
    <w:p>
      <w:pPr>
        <w:keepNext w:val="0"/>
        <w:keepLines w:val="0"/>
        <w:pageBreakBefore w:val="0"/>
        <w:widowControl/>
        <w:shd w:val="clear" w:color="auto" w:fill="FEFEFE"/>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仿宋_GB2312" w:cs="Times New Roman"/>
          <w:color w:val="000000" w:themeColor="text1"/>
          <w:kern w:val="0"/>
          <w:sz w:val="32"/>
          <w:szCs w:val="32"/>
          <w:shd w:val="clear" w:color="auto" w:fill="FEFEFE"/>
          <w:lang w:val="en-US" w:eastAsia="zh-CN"/>
          <w14:textFill>
            <w14:solidFill>
              <w14:schemeClr w14:val="tx1"/>
            </w14:solidFill>
          </w14:textFill>
        </w:rPr>
      </w:pPr>
      <w:r>
        <w:rPr>
          <w:rFonts w:hint="default" w:ascii="Times New Roman" w:hAnsi="Times New Roman" w:eastAsia="仿宋_GB2312" w:cs="Times New Roman"/>
          <w:color w:val="000000" w:themeColor="text1"/>
          <w:kern w:val="0"/>
          <w:sz w:val="32"/>
          <w:szCs w:val="32"/>
          <w:shd w:val="clear" w:color="auto" w:fill="FEFEFE"/>
          <w14:textFill>
            <w14:solidFill>
              <w14:schemeClr w14:val="tx1"/>
            </w14:solidFill>
          </w14:textFill>
        </w:rPr>
        <w:t>202</w:t>
      </w:r>
      <w:r>
        <w:rPr>
          <w:rFonts w:hint="default" w:ascii="Times New Roman" w:hAnsi="Times New Roman" w:eastAsia="仿宋_GB2312" w:cs="Times New Roman"/>
          <w:color w:val="000000" w:themeColor="text1"/>
          <w:kern w:val="0"/>
          <w:sz w:val="32"/>
          <w:szCs w:val="32"/>
          <w:shd w:val="clear" w:color="auto" w:fill="FEFEFE"/>
          <w:lang w:val="en-US" w:eastAsia="zh-CN"/>
          <w14:textFill>
            <w14:solidFill>
              <w14:schemeClr w14:val="tx1"/>
            </w14:solidFill>
          </w14:textFill>
        </w:rPr>
        <w:t>3</w:t>
      </w:r>
      <w:r>
        <w:rPr>
          <w:rFonts w:hint="default" w:ascii="Times New Roman" w:hAnsi="Times New Roman" w:eastAsia="仿宋_GB2312" w:cs="Times New Roman"/>
          <w:color w:val="000000" w:themeColor="text1"/>
          <w:kern w:val="0"/>
          <w:sz w:val="32"/>
          <w:szCs w:val="32"/>
          <w:shd w:val="clear" w:color="auto" w:fill="FEFEFE"/>
          <w14:textFill>
            <w14:solidFill>
              <w14:schemeClr w14:val="tx1"/>
            </w14:solidFill>
          </w14:textFill>
        </w:rPr>
        <w:t>年</w:t>
      </w:r>
      <w:r>
        <w:rPr>
          <w:rFonts w:hint="default" w:ascii="Times New Roman" w:hAnsi="Times New Roman" w:eastAsia="仿宋_GB2312" w:cs="Times New Roman"/>
          <w:color w:val="000000" w:themeColor="text1"/>
          <w:kern w:val="0"/>
          <w:sz w:val="32"/>
          <w:szCs w:val="32"/>
          <w:shd w:val="clear" w:color="auto" w:fill="FEFEF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shd w:val="clear" w:color="auto" w:fill="FEFEFE"/>
          <w14:textFill>
            <w14:solidFill>
              <w14:schemeClr w14:val="tx1"/>
            </w14:solidFill>
          </w14:textFill>
        </w:rPr>
        <w:t>我局在政府信息公开的组织领导、制度建设、内容规范等方面取得了新的进展，但信息公开内容还不够完善，不够全面等。下一步将着重加强以下几项工作：</w:t>
      </w:r>
      <w:r>
        <w:rPr>
          <w:rFonts w:hint="default" w:ascii="Times New Roman" w:hAnsi="Times New Roman" w:eastAsia="仿宋_GB2312" w:cs="Times New Roman"/>
          <w:color w:val="000000" w:themeColor="text1"/>
          <w:kern w:val="0"/>
          <w:sz w:val="32"/>
          <w:szCs w:val="32"/>
          <w:shd w:val="clear" w:color="auto" w:fill="FEFEFE"/>
          <w:lang w:val="en-US" w:eastAsia="zh-CN"/>
          <w14:textFill>
            <w14:solidFill>
              <w14:schemeClr w14:val="tx1"/>
            </w14:solidFill>
          </w14:textFill>
        </w:rPr>
        <w:t xml:space="preserve"> </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Cs/>
          <w:kern w:val="0"/>
          <w:sz w:val="32"/>
          <w:szCs w:val="32"/>
          <w:highlight w:val="none"/>
        </w:rPr>
      </w:pPr>
      <w:r>
        <w:rPr>
          <w:rFonts w:hint="default" w:ascii="Times New Roman" w:hAnsi="Times New Roman" w:eastAsia="仿宋" w:cs="Times New Roman"/>
          <w:b/>
          <w:bCs w:val="0"/>
          <w:kern w:val="0"/>
          <w:sz w:val="32"/>
          <w:szCs w:val="32"/>
          <w:highlight w:val="none"/>
        </w:rPr>
        <w:t>1.</w:t>
      </w:r>
      <w:r>
        <w:rPr>
          <w:rFonts w:hint="default" w:ascii="Times New Roman" w:hAnsi="Times New Roman" w:eastAsia="仿宋_GB2312" w:cs="Times New Roman"/>
          <w:b/>
          <w:bCs w:val="0"/>
          <w:sz w:val="32"/>
          <w:szCs w:val="32"/>
          <w:highlight w:val="none"/>
          <w:lang w:val="en-US" w:eastAsia="zh-CN"/>
        </w:rPr>
        <w:t>加大宣传力度</w:t>
      </w:r>
      <w:r>
        <w:rPr>
          <w:rFonts w:hint="default" w:ascii="Times New Roman" w:hAnsi="Times New Roman" w:eastAsia="仿宋_GB2312" w:cs="Times New Roman"/>
          <w:b/>
          <w:bCs w:val="0"/>
          <w:sz w:val="32"/>
          <w:szCs w:val="32"/>
          <w:highlight w:val="none"/>
        </w:rPr>
        <w:t>，营造良好氛围。</w:t>
      </w:r>
      <w:r>
        <w:rPr>
          <w:rFonts w:hint="default" w:ascii="Times New Roman" w:hAnsi="Times New Roman" w:eastAsia="仿宋_GB2312" w:cs="Times New Roman"/>
          <w:sz w:val="32"/>
          <w:szCs w:val="32"/>
          <w:highlight w:val="none"/>
        </w:rPr>
        <w:t>加强宣传和普及力度，提高知晓率，增强广大群众积极参与和监督的意识。</w:t>
      </w:r>
      <w:r>
        <w:rPr>
          <w:rFonts w:hint="default" w:ascii="Times New Roman" w:hAnsi="Times New Roman" w:eastAsia="仿宋" w:cs="Times New Roman"/>
          <w:bCs/>
          <w:kern w:val="0"/>
          <w:sz w:val="32"/>
          <w:szCs w:val="32"/>
          <w:highlight w:val="none"/>
        </w:rPr>
        <w:t>加强政务信息公开工作制度、办法的教育培训，促进广大干部进一步领会和贯彻落实信息公开要求，不断增强公开意识，提高公开能力，从而提高政府信息公开工作的质量和水平。</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Cs/>
          <w:kern w:val="0"/>
          <w:sz w:val="32"/>
          <w:szCs w:val="32"/>
          <w:highlight w:val="none"/>
        </w:rPr>
      </w:pPr>
      <w:r>
        <w:rPr>
          <w:rFonts w:hint="default" w:ascii="Times New Roman" w:hAnsi="Times New Roman" w:eastAsia="仿宋" w:cs="Times New Roman"/>
          <w:b/>
          <w:bCs w:val="0"/>
          <w:kern w:val="0"/>
          <w:sz w:val="32"/>
          <w:szCs w:val="32"/>
          <w:highlight w:val="none"/>
        </w:rPr>
        <w:t>2.</w:t>
      </w:r>
      <w:r>
        <w:rPr>
          <w:rFonts w:hint="default" w:ascii="Times New Roman" w:hAnsi="Times New Roman" w:eastAsia="仿宋" w:cs="Times New Roman"/>
          <w:b/>
          <w:bCs w:val="0"/>
          <w:kern w:val="0"/>
          <w:sz w:val="32"/>
          <w:szCs w:val="32"/>
          <w:highlight w:val="none"/>
          <w:lang w:val="en-US" w:eastAsia="zh-CN"/>
        </w:rPr>
        <w:t>充实</w:t>
      </w:r>
      <w:r>
        <w:rPr>
          <w:rFonts w:hint="default" w:ascii="Times New Roman" w:hAnsi="Times New Roman" w:eastAsia="仿宋" w:cs="Times New Roman"/>
          <w:b/>
          <w:bCs w:val="0"/>
          <w:kern w:val="0"/>
          <w:sz w:val="32"/>
          <w:szCs w:val="32"/>
          <w:highlight w:val="none"/>
        </w:rPr>
        <w:t>公开内容，提高公开效能。</w:t>
      </w:r>
      <w:r>
        <w:rPr>
          <w:rFonts w:hint="default" w:ascii="Times New Roman" w:hAnsi="Times New Roman" w:eastAsia="仿宋" w:cs="Times New Roman"/>
          <w:bCs/>
          <w:kern w:val="0"/>
          <w:sz w:val="32"/>
          <w:szCs w:val="32"/>
          <w:highlight w:val="none"/>
        </w:rPr>
        <w:t>进一步充实政务公开的内容，扩大公开的范围，对群众普遍关心和涉及群众切身利益的实际问题及时公开。加强基层调研，对于社会公众关注的经济发展热点、重点信息及时更新，切实保证信息公开的完整性、准确性和时效性。</w:t>
      </w:r>
    </w:p>
    <w:p>
      <w:pPr>
        <w:keepNext w:val="0"/>
        <w:keepLines w:val="0"/>
        <w:pageBreakBefore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 w:cs="Times New Roman"/>
          <w:bCs/>
          <w:kern w:val="0"/>
          <w:sz w:val="32"/>
          <w:szCs w:val="32"/>
          <w:highlight w:val="none"/>
        </w:rPr>
      </w:pPr>
      <w:r>
        <w:rPr>
          <w:rFonts w:hint="default" w:ascii="Times New Roman" w:hAnsi="Times New Roman" w:eastAsia="仿宋" w:cs="Times New Roman"/>
          <w:b/>
          <w:bCs w:val="0"/>
          <w:kern w:val="0"/>
          <w:sz w:val="32"/>
          <w:szCs w:val="32"/>
          <w:highlight w:val="none"/>
        </w:rPr>
        <w:t>3.</w:t>
      </w:r>
      <w:r>
        <w:rPr>
          <w:rFonts w:hint="default" w:ascii="Times New Roman" w:hAnsi="Times New Roman" w:eastAsia="仿宋" w:cs="Times New Roman"/>
          <w:b/>
          <w:bCs w:val="0"/>
          <w:kern w:val="0"/>
          <w:sz w:val="32"/>
          <w:szCs w:val="32"/>
          <w:highlight w:val="none"/>
          <w:lang w:val="en-US" w:eastAsia="zh-CN"/>
        </w:rPr>
        <w:t>严格</w:t>
      </w:r>
      <w:r>
        <w:rPr>
          <w:rFonts w:hint="default" w:ascii="Times New Roman" w:hAnsi="Times New Roman" w:eastAsia="仿宋" w:cs="Times New Roman"/>
          <w:b/>
          <w:bCs w:val="0"/>
          <w:kern w:val="0"/>
          <w:sz w:val="32"/>
          <w:szCs w:val="32"/>
          <w:highlight w:val="none"/>
        </w:rPr>
        <w:t>保密要求，强化监督检查。</w:t>
      </w:r>
      <w:r>
        <w:rPr>
          <w:rFonts w:hint="default" w:ascii="Times New Roman" w:hAnsi="Times New Roman" w:eastAsia="仿宋" w:cs="Times New Roman"/>
          <w:bCs/>
          <w:kern w:val="0"/>
          <w:sz w:val="32"/>
          <w:szCs w:val="32"/>
          <w:highlight w:val="none"/>
        </w:rPr>
        <w:t>深入贯彻落实国家有关保密法律法规及区政府有关政府信息公开保密审查文件要求，强化对政府信息公开保密审查工作的监督检查，坚决杜绝失泄密事件的发生，在确保国家秘密安全的情况下，有力推进政府信息公开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黑体" w:cs="Times New Roman"/>
          <w:b w:val="0"/>
          <w:bCs w:val="0"/>
          <w:sz w:val="32"/>
          <w:szCs w:val="32"/>
          <w:highlight w:val="none"/>
          <w:lang w:val="en-US" w:eastAsia="zh-CN"/>
        </w:rPr>
      </w:pPr>
      <w:r>
        <w:rPr>
          <w:rFonts w:hint="default" w:ascii="Times New Roman" w:hAnsi="Times New Roman" w:eastAsia="黑体" w:cs="Times New Roman"/>
          <w:b w:val="0"/>
          <w:bCs w:val="0"/>
          <w:sz w:val="32"/>
          <w:szCs w:val="32"/>
          <w:highlight w:val="none"/>
          <w:lang w:val="en-US" w:eastAsia="zh-CN"/>
        </w:rPr>
        <w:t>六、其他需要报告的事项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kern w:val="0"/>
          <w:sz w:val="32"/>
          <w:szCs w:val="32"/>
          <w:highlight w:val="none"/>
        </w:rPr>
      </w:pPr>
      <w:r>
        <w:rPr>
          <w:rFonts w:hint="default" w:ascii="Times New Roman" w:hAnsi="Times New Roman" w:eastAsia="仿宋" w:cs="Times New Roman"/>
          <w:bCs/>
          <w:kern w:val="0"/>
          <w:sz w:val="32"/>
          <w:szCs w:val="32"/>
          <w:highlight w:val="none"/>
        </w:rPr>
        <w:t>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 w:cs="Times New Roman"/>
          <w:bCs/>
          <w:kern w:val="0"/>
          <w:sz w:val="32"/>
          <w:szCs w:val="32"/>
          <w:highlight w:val="none"/>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Times New Roman"/>
          <w:bCs/>
          <w:kern w:val="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仿宋" w:cs="Times New Roman"/>
          <w:bCs/>
          <w:kern w:val="0"/>
          <w:sz w:val="32"/>
          <w:szCs w:val="32"/>
          <w:highlight w:val="none"/>
          <w:lang w:val="en-US" w:eastAsia="zh-CN"/>
        </w:rPr>
        <w:t>尧都区发展和改革局</w:t>
      </w:r>
    </w:p>
    <w:p>
      <w:pPr>
        <w:keepNext w:val="0"/>
        <w:keepLines w:val="0"/>
        <w:pageBreakBefore w:val="0"/>
        <w:kinsoku/>
        <w:wordWrap/>
        <w:overflowPunct/>
        <w:topLinePunct w:val="0"/>
        <w:autoSpaceDE/>
        <w:autoSpaceDN/>
        <w:bidi w:val="0"/>
        <w:adjustRightInd/>
        <w:snapToGrid/>
        <w:spacing w:line="600" w:lineRule="exact"/>
        <w:ind w:firstLine="640" w:firstLineChars="200"/>
        <w:jc w:val="right"/>
        <w:textAlignment w:val="auto"/>
        <w:rPr>
          <w:rFonts w:hint="default" w:ascii="Times New Roman" w:hAnsi="Times New Roman" w:eastAsia="仿宋" w:cs="Times New Roman"/>
          <w:bCs/>
          <w:kern w:val="0"/>
          <w:sz w:val="32"/>
          <w:szCs w:val="32"/>
          <w:highlight w:val="none"/>
          <w:lang w:val="en-US" w:eastAsia="zh-CN"/>
        </w:rPr>
      </w:pPr>
      <w:r>
        <w:rPr>
          <w:rFonts w:hint="default" w:ascii="Times New Roman" w:hAnsi="Times New Roman" w:eastAsia="仿宋" w:cs="Times New Roman"/>
          <w:bCs/>
          <w:kern w:val="0"/>
          <w:sz w:val="32"/>
          <w:szCs w:val="32"/>
          <w:highlight w:val="none"/>
          <w:lang w:val="en-US" w:eastAsia="zh-CN"/>
        </w:rPr>
        <w:t>2024年1月17日</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480"/>
        <w:textAlignment w:val="auto"/>
        <w:rPr>
          <w:rFonts w:hint="default" w:ascii="Times New Roman" w:hAnsi="Times New Roman" w:eastAsia="宋体" w:cs="Times New Roman"/>
          <w:color w:val="333333"/>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600" w:lineRule="exact"/>
        <w:ind w:firstLine="472" w:firstLineChars="196"/>
        <w:textAlignment w:val="auto"/>
        <w:rPr>
          <w:rFonts w:hint="default" w:ascii="Times New Roman" w:hAnsi="Times New Roman" w:cs="Times New Roman" w:eastAsiaTheme="minorEastAsia"/>
          <w:b/>
          <w:bCs/>
          <w:color w:val="333333"/>
          <w:kern w:val="0"/>
          <w:sz w:val="32"/>
          <w:szCs w:val="32"/>
          <w:highlight w:val="none"/>
          <w:lang w:eastAsia="zh-CN"/>
        </w:rPr>
      </w:pPr>
      <w:r>
        <w:rPr>
          <w:rFonts w:hint="default" w:ascii="Times New Roman" w:hAnsi="Times New Roman" w:eastAsia="宋体" w:cs="Times New Roman"/>
          <w:b/>
          <w:bCs/>
          <w:color w:val="333333"/>
          <w:kern w:val="0"/>
          <w:sz w:val="24"/>
          <w:szCs w:val="24"/>
          <w:highlight w:val="none"/>
          <w:lang w:val="en-US" w:eastAsia="zh-CN"/>
        </w:rPr>
        <w:t xml:space="preserve"> </w:t>
      </w:r>
      <w:r>
        <w:rPr>
          <w:rFonts w:hint="default" w:ascii="Times New Roman" w:hAnsi="Times New Roman" w:eastAsia="华文中宋" w:cs="Times New Roman"/>
          <w:sz w:val="44"/>
          <w:szCs w:val="44"/>
          <w:highlight w:val="none"/>
          <w:lang w:val="en-US" w:eastAsia="zh-CN"/>
        </w:rPr>
        <w:t xml:space="preserve"> </w:t>
      </w:r>
    </w:p>
    <w:p>
      <w:pPr>
        <w:widowControl/>
        <w:spacing w:line="500" w:lineRule="exact"/>
        <w:ind w:firstLine="643" w:firstLineChars="200"/>
        <w:rPr>
          <w:rFonts w:hint="eastAsia" w:ascii="黑体" w:hAnsi="黑体" w:eastAsia="黑体" w:cs="黑体"/>
          <w:b/>
          <w:bCs/>
          <w:color w:val="333333"/>
          <w:kern w:val="0"/>
          <w:sz w:val="32"/>
          <w:szCs w:val="32"/>
          <w:highlight w:val="none"/>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 w:hAnsi="仿宋" w:eastAsia="仿宋" w:cs="仿宋"/>
          <w:sz w:val="32"/>
          <w:szCs w:val="32"/>
          <w:highlight w:val="none"/>
          <w:lang w:val="en-US" w:eastAsia="zh-CN"/>
        </w:rPr>
      </w:pPr>
      <w:r>
        <w:rPr>
          <w:rFonts w:hint="eastAsia" w:ascii="黑体" w:hAnsi="黑体" w:eastAsia="黑体" w:cs="黑体"/>
          <w:b/>
          <w:bCs/>
          <w:color w:val="333333"/>
          <w:kern w:val="0"/>
          <w:sz w:val="32"/>
          <w:szCs w:val="32"/>
          <w:highlight w:val="none"/>
          <w:lang w:val="en-US" w:eastAsia="zh-CN"/>
        </w:rPr>
        <w:t xml:space="preserve"> </w:t>
      </w:r>
    </w:p>
    <w:sectPr>
      <w:pgSz w:w="11906" w:h="16838"/>
      <w:pgMar w:top="1440" w:right="1803"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xNDE4NTAxN2Q2YWUxYmE2YmY0Y2JmMmQ5Mjg2YjQifQ=="/>
  </w:docVars>
  <w:rsids>
    <w:rsidRoot w:val="32992B74"/>
    <w:rsid w:val="03903C1F"/>
    <w:rsid w:val="049B273F"/>
    <w:rsid w:val="06C8268E"/>
    <w:rsid w:val="07FE491D"/>
    <w:rsid w:val="09975029"/>
    <w:rsid w:val="0B361EED"/>
    <w:rsid w:val="0B7F172C"/>
    <w:rsid w:val="0DB01C29"/>
    <w:rsid w:val="0E1C3D4F"/>
    <w:rsid w:val="117C5480"/>
    <w:rsid w:val="11F56D91"/>
    <w:rsid w:val="12E82B1A"/>
    <w:rsid w:val="138046D5"/>
    <w:rsid w:val="1494463F"/>
    <w:rsid w:val="15724781"/>
    <w:rsid w:val="16AE750E"/>
    <w:rsid w:val="1A046F6A"/>
    <w:rsid w:val="1C2F10F1"/>
    <w:rsid w:val="1E0D09B2"/>
    <w:rsid w:val="1E986389"/>
    <w:rsid w:val="21025026"/>
    <w:rsid w:val="217D645B"/>
    <w:rsid w:val="23933F73"/>
    <w:rsid w:val="23CF178A"/>
    <w:rsid w:val="24FD7FDE"/>
    <w:rsid w:val="2713111B"/>
    <w:rsid w:val="27EB6814"/>
    <w:rsid w:val="285E27ED"/>
    <w:rsid w:val="291D5982"/>
    <w:rsid w:val="2AF8539D"/>
    <w:rsid w:val="2C0B1233"/>
    <w:rsid w:val="2E1819E5"/>
    <w:rsid w:val="2E4C670C"/>
    <w:rsid w:val="2EE713B8"/>
    <w:rsid w:val="302D68F5"/>
    <w:rsid w:val="31D873B8"/>
    <w:rsid w:val="32992B74"/>
    <w:rsid w:val="33E67E90"/>
    <w:rsid w:val="350A3B74"/>
    <w:rsid w:val="351975ED"/>
    <w:rsid w:val="37B57156"/>
    <w:rsid w:val="387F5CCC"/>
    <w:rsid w:val="38F96DDD"/>
    <w:rsid w:val="3AB94550"/>
    <w:rsid w:val="3B424545"/>
    <w:rsid w:val="3BF44C93"/>
    <w:rsid w:val="3D221248"/>
    <w:rsid w:val="41D27865"/>
    <w:rsid w:val="43E02B4D"/>
    <w:rsid w:val="447251FF"/>
    <w:rsid w:val="45B73D33"/>
    <w:rsid w:val="460169BE"/>
    <w:rsid w:val="46095D75"/>
    <w:rsid w:val="46641814"/>
    <w:rsid w:val="468C2BB6"/>
    <w:rsid w:val="48990868"/>
    <w:rsid w:val="4927547C"/>
    <w:rsid w:val="493354CD"/>
    <w:rsid w:val="4972452F"/>
    <w:rsid w:val="4C001FDF"/>
    <w:rsid w:val="4CDB20B3"/>
    <w:rsid w:val="4CF3744D"/>
    <w:rsid w:val="4F263EA4"/>
    <w:rsid w:val="4F693DE7"/>
    <w:rsid w:val="50DE050E"/>
    <w:rsid w:val="51062CF9"/>
    <w:rsid w:val="51AD5E69"/>
    <w:rsid w:val="56273982"/>
    <w:rsid w:val="56C84EAF"/>
    <w:rsid w:val="580C5FE9"/>
    <w:rsid w:val="59F8251E"/>
    <w:rsid w:val="5E621C29"/>
    <w:rsid w:val="5F4B136B"/>
    <w:rsid w:val="5F8E1258"/>
    <w:rsid w:val="60CE4002"/>
    <w:rsid w:val="62066A55"/>
    <w:rsid w:val="6A0B1E23"/>
    <w:rsid w:val="6A22716C"/>
    <w:rsid w:val="6A640F4E"/>
    <w:rsid w:val="6B97483B"/>
    <w:rsid w:val="6DA35E75"/>
    <w:rsid w:val="6E453429"/>
    <w:rsid w:val="6F5B1156"/>
    <w:rsid w:val="70147557"/>
    <w:rsid w:val="7246656C"/>
    <w:rsid w:val="744934AE"/>
    <w:rsid w:val="760442A1"/>
    <w:rsid w:val="7608402A"/>
    <w:rsid w:val="768E0063"/>
    <w:rsid w:val="77686DB2"/>
    <w:rsid w:val="77866AAE"/>
    <w:rsid w:val="78915BE9"/>
    <w:rsid w:val="791E1E46"/>
    <w:rsid w:val="7A15284A"/>
    <w:rsid w:val="7A34604F"/>
    <w:rsid w:val="7B1211B1"/>
    <w:rsid w:val="7B2F13F8"/>
    <w:rsid w:val="7E8A7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rPr>
      <w:sz w:val="24"/>
    </w:rPr>
  </w:style>
  <w:style w:type="table" w:customStyle="1" w:styleId="5">
    <w:name w:val="Table Normal"/>
    <w:autoRedefine/>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2180</Words>
  <Characters>2227</Characters>
  <Lines>0</Lines>
  <Paragraphs>0</Paragraphs>
  <TotalTime>35</TotalTime>
  <ScaleCrop>false</ScaleCrop>
  <LinksUpToDate>false</LinksUpToDate>
  <CharactersWithSpaces>2429</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2022-01-19T08:36:00Z</dcterms:created>
  <dc:creator>Zoe</dc:creator>
  <cp:lastModifiedBy>Administrator</cp:lastModifiedBy>
  <cp:lastPrinted>2024-01-25T08:02:00Z</cp:lastPrinted>
  <dcterms:modified xsi:type="dcterms:W3CDTF">2024-01-25T08:14:07Z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0CEED9DB96C1459BACFB99060BB74CEB</vt:lpwstr>
  </property>
</Properties>
</file>