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00" w:lineRule="exact"/>
        <w:jc w:val="center"/>
        <w:rPr>
          <w:rFonts w:ascii="方正小标宋简体" w:hAnsi="黑体" w:eastAsia="方正小标宋简体" w:cs="黑体"/>
          <w:bCs/>
          <w:kern w:val="0"/>
          <w:sz w:val="44"/>
          <w:szCs w:val="44"/>
        </w:rPr>
      </w:pPr>
      <w:bookmarkStart w:id="0" w:name="_GoBack"/>
      <w:bookmarkEnd w:id="0"/>
      <w:r>
        <w:rPr>
          <w:rFonts w:hint="eastAsia" w:ascii="方正小标宋简体" w:hAnsi="黑体" w:eastAsia="方正小标宋简体" w:cs="黑体"/>
          <w:bCs/>
          <w:kern w:val="0"/>
          <w:sz w:val="44"/>
          <w:szCs w:val="44"/>
        </w:rPr>
        <w:t>尧都区公安局</w:t>
      </w:r>
    </w:p>
    <w:p>
      <w:pPr>
        <w:widowControl/>
        <w:shd w:val="clear" w:color="auto" w:fill="FFFFFF"/>
        <w:spacing w:line="500" w:lineRule="exact"/>
        <w:jc w:val="center"/>
        <w:rPr>
          <w:rFonts w:ascii="方正小标宋简体" w:hAnsi="黑体" w:eastAsia="方正小标宋简体" w:cs="黑体"/>
          <w:bCs/>
          <w:kern w:val="0"/>
          <w:sz w:val="44"/>
          <w:szCs w:val="44"/>
        </w:rPr>
      </w:pPr>
      <w:r>
        <w:rPr>
          <w:rFonts w:hint="eastAsia" w:ascii="方正小标宋简体" w:hAnsi="黑体" w:eastAsia="方正小标宋简体" w:cs="黑体"/>
          <w:bCs/>
          <w:kern w:val="0"/>
          <w:sz w:val="44"/>
          <w:szCs w:val="44"/>
        </w:rPr>
        <w:t>2021年政府信息公开工作年度报告</w:t>
      </w:r>
    </w:p>
    <w:p>
      <w:pPr>
        <w:spacing w:line="500" w:lineRule="exact"/>
        <w:ind w:firstLine="640" w:firstLineChars="200"/>
        <w:rPr>
          <w:rFonts w:ascii="华文细黑" w:hAnsi="华文细黑" w:eastAsia="华文细黑"/>
          <w:sz w:val="32"/>
          <w:szCs w:val="32"/>
        </w:rPr>
      </w:pP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尧都区公安局坚持以习近平新时代中国特色社会主义思想为指导，积极贯彻落实区委、区政府及上级公安机关关于全面推进政务公开工作的系列部署，紧贴工作中心，拓宽公开范围，突出重点领域信息公开，创新工作举措，强化保障机制,推动尧都公安各项工作全面上台阶、争先进、创亮点，有力维护了辖区社会大局的和谐稳定。</w:t>
      </w:r>
    </w:p>
    <w:p>
      <w:pPr>
        <w:widowControl/>
        <w:numPr>
          <w:ilvl w:val="0"/>
          <w:numId w:val="1"/>
        </w:numPr>
        <w:shd w:val="clear" w:color="auto" w:fill="FFFFFF"/>
        <w:spacing w:line="500" w:lineRule="exact"/>
        <w:ind w:firstLine="640" w:firstLineChars="200"/>
        <w:rPr>
          <w:rFonts w:ascii="黑体" w:hAnsi="黑体" w:eastAsia="黑体" w:cs="黑体"/>
          <w:bCs/>
          <w:kern w:val="0"/>
          <w:sz w:val="32"/>
          <w:szCs w:val="32"/>
        </w:rPr>
      </w:pPr>
      <w:r>
        <w:rPr>
          <w:rFonts w:hint="eastAsia" w:ascii="黑体" w:hAnsi="黑体" w:eastAsia="黑体" w:cs="黑体"/>
          <w:bCs/>
          <w:kern w:val="0"/>
          <w:sz w:val="32"/>
          <w:szCs w:val="32"/>
        </w:rPr>
        <w:t>总体情况</w:t>
      </w:r>
    </w:p>
    <w:p>
      <w:pPr>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1、公安审批和“放管服”改革方面</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 ①在户籍、出入境上，坚持以人民为中心的发展思想，</w:t>
      </w:r>
      <w:r>
        <w:rPr>
          <w:rFonts w:hint="eastAsia" w:ascii="仿宋_GB2312" w:hAnsi="仿宋_GB2312" w:eastAsia="仿宋_GB2312" w:cs="仿宋_GB2312"/>
          <w:sz w:val="32"/>
          <w:szCs w:val="32"/>
        </w:rPr>
        <w:t>按照公安部要求，推进落实户籍业务跨省通办试点工作，印发《尧都区公安局关于在窗口服务单位开展企业和群众办事难问题专项整治活动的实施方案的通知》，进一步优化全区政务服务环境，解决服务群众、服务企业“最后一公里”的问题，同时印发户政业务办事指南，审核签发省外异地受理身份证信息1522人次；审批补录户口16人，恢复户口100人，更正出生日期21人；办理边防证80人。完善“四级四同”网上办事流程，提高办事效率。</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②在特种行业和公章刻制业上，</w:t>
      </w:r>
      <w:r>
        <w:rPr>
          <w:rFonts w:hint="eastAsia" w:ascii="仿宋_GB2312" w:hAnsi="仿宋_GB2312" w:eastAsia="仿宋_GB2312" w:cs="仿宋_GB2312"/>
          <w:sz w:val="32"/>
          <w:szCs w:val="32"/>
        </w:rPr>
        <w:t>严格按照省厅、市局工作要求和尧都区“证照分离”改革全覆盖事项清单，实行网上预约，一次性告知。对辖区118家娱乐场所和特种行业管控平台进行了检查，发放特种行业许可证7份、废旧金属收购业备案2家，开锁业1家。</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③在交管服务上，</w:t>
      </w:r>
      <w:r>
        <w:rPr>
          <w:rFonts w:hint="eastAsia" w:ascii="仿宋_GB2312" w:hAnsi="仿宋_GB2312" w:eastAsia="仿宋_GB2312" w:cs="仿宋_GB2312"/>
          <w:sz w:val="32"/>
          <w:szCs w:val="32"/>
        </w:rPr>
        <w:t>根据区委巡查办工作要求，车管所部分业务进驻政务大厅，车管所全面“网上办”实行“一站式”服务推行“一次办”，共办理摩托车驾驶人考试7246人次，小型汽车类驾驶各科类考试48590人次，办理机动车业务15086笔，驾驶证业务25365笔。</w:t>
      </w:r>
    </w:p>
    <w:p>
      <w:pPr>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2、公安行政监管方面</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照市、区统一安排，狠抓行政审批和依法监管工作的落实，先后通过并完善“山西省政务服务管理平台”梳理认领涉及公安工作的监管事项；在“山西省互联网+监管平台”录入执法人员18人，新录入监管对象920余人，录入监管行为960余条，监管业务报送数1900余条。积极与区政府相关职能部门进行对接，将公安机关管理对象违法违规行为依法纳入社会信用体系，构建对失信主体的跨部门协同监管和联合惩戒机制。在此基础上积极配合尧都区发展和改革局推进“双公示”工作，印发《尧都区公安局“双公示”等信用信息公示工作实施方案》的通知，各部门确定联络人，报送行政处罚与行政许可300余条。积极与区政府相关职能部门进行对接，将公安机关管理对象违法违规行为依法纳入社会信用体系，构建对失信主体的跨部门协同监管和联合惩戒机制。</w:t>
      </w:r>
    </w:p>
    <w:p>
      <w:pPr>
        <w:spacing w:line="500" w:lineRule="exact"/>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3、公安宣传方面</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坚持正确的政治方向和舆论导向，突出典型宣传，发挥新闻宣传舆论引导作用，围绕重点工作，推出有温度、有深度、有广度、有力度的新闻作品，讲好警察故事，发好公安声音。先后在省、市级报刊和网络平台发表新闻稿件320余篇（次），发布微博警务资讯300条、提升了主题宣传效果，营造了良好的社会舆论氛围。</w:t>
      </w:r>
    </w:p>
    <w:p>
      <w:pPr>
        <w:numPr>
          <w:ilvl w:val="0"/>
          <w:numId w:val="2"/>
        </w:numPr>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互动回应方面</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政务新媒体建立有效回应渠道，对于在政务新媒体公开留言“咨询无犯罪记录证明”，尧都公安新媒体积极互动进行回复，引导网民在山西公安进行办理，切实做到了“让数据多跑腿，群众少跑腿”，提高为民服务办事的效率，获得了网友的好评。在尧都区人民政府网站上对于网友留言当日进行回复，准确及时。</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2021年，我局制定完善了政务公开相关方案、制度、机制10余项，对服务对象实现定向公开，尧都公安局所管业务按照要求实现“证照分离”和“一次性告知承诺制”。</w:t>
      </w:r>
    </w:p>
    <w:p>
      <w:pPr>
        <w:widowControl/>
        <w:shd w:val="clear" w:color="auto" w:fill="FFFFFF"/>
        <w:spacing w:after="240"/>
        <w:ind w:firstLine="480"/>
        <w:rPr>
          <w:rFonts w:ascii="黑体" w:hAnsi="黑体" w:eastAsia="黑体" w:cs="黑体"/>
          <w:kern w:val="0"/>
          <w:sz w:val="32"/>
          <w:szCs w:val="32"/>
        </w:rPr>
      </w:pPr>
      <w:r>
        <w:rPr>
          <w:rFonts w:hint="eastAsia" w:ascii="黑体" w:hAnsi="黑体" w:eastAsia="黑体" w:cs="黑体"/>
          <w:bCs/>
          <w:kern w:val="0"/>
          <w:sz w:val="32"/>
          <w:szCs w:val="32"/>
        </w:rPr>
        <w:t>二、主动公开政府信息情况</w:t>
      </w:r>
    </w:p>
    <w:tbl>
      <w:tblPr>
        <w:tblStyle w:val="2"/>
        <w:tblW w:w="0" w:type="auto"/>
        <w:jc w:val="center"/>
        <w:tblLayout w:type="fixed"/>
        <w:tblCellMar>
          <w:top w:w="0" w:type="dxa"/>
          <w:left w:w="0" w:type="dxa"/>
          <w:bottom w:w="0" w:type="dxa"/>
          <w:right w:w="0" w:type="dxa"/>
        </w:tblCellMar>
      </w:tblPr>
      <w:tblGrid>
        <w:gridCol w:w="3113"/>
        <w:gridCol w:w="1875"/>
        <w:gridCol w:w="1505"/>
        <w:gridCol w:w="1647"/>
      </w:tblGrid>
      <w:tr>
        <w:tblPrEx>
          <w:tblCellMar>
            <w:top w:w="0" w:type="dxa"/>
            <w:left w:w="0" w:type="dxa"/>
            <w:bottom w:w="0" w:type="dxa"/>
            <w:right w:w="0" w:type="dxa"/>
          </w:tblCellMar>
        </w:tblPrEx>
        <w:trPr>
          <w:trHeight w:val="495" w:hRule="atLeast"/>
          <w:jc w:val="center"/>
        </w:trPr>
        <w:tc>
          <w:tcPr>
            <w:tcW w:w="8140" w:type="dxa"/>
            <w:gridSpan w:val="4"/>
            <w:tcBorders>
              <w:top w:val="single" w:color="auto" w:sz="8" w:space="0"/>
              <w:left w:val="single" w:color="auto" w:sz="8" w:space="0"/>
              <w:bottom w:val="single" w:color="auto" w:sz="8" w:space="0"/>
              <w:right w:val="single" w:color="auto" w:sz="8" w:space="0"/>
            </w:tcBorders>
            <w:shd w:val="clear" w:color="auto" w:fill="C6D9F1"/>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第二十条第（一）项</w:t>
            </w:r>
          </w:p>
        </w:tc>
      </w:tr>
      <w:tr>
        <w:tblPrEx>
          <w:tblCellMar>
            <w:top w:w="0" w:type="dxa"/>
            <w:left w:w="0" w:type="dxa"/>
            <w:bottom w:w="0" w:type="dxa"/>
            <w:right w:w="0" w:type="dxa"/>
          </w:tblCellMar>
        </w:tblPrEx>
        <w:trPr>
          <w:trHeight w:val="882" w:hRule="atLeast"/>
          <w:jc w:val="center"/>
        </w:trPr>
        <w:tc>
          <w:tcPr>
            <w:tcW w:w="3113"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信息内容</w:t>
            </w:r>
          </w:p>
        </w:tc>
        <w:tc>
          <w:tcPr>
            <w:tcW w:w="187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本年制发件数</w:t>
            </w:r>
          </w:p>
        </w:tc>
        <w:tc>
          <w:tcPr>
            <w:tcW w:w="15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本年废止件数</w:t>
            </w:r>
          </w:p>
        </w:tc>
        <w:tc>
          <w:tcPr>
            <w:tcW w:w="1647"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现行有效件数</w:t>
            </w:r>
          </w:p>
        </w:tc>
      </w:tr>
      <w:tr>
        <w:tblPrEx>
          <w:tblCellMar>
            <w:top w:w="0" w:type="dxa"/>
            <w:left w:w="0" w:type="dxa"/>
            <w:bottom w:w="0" w:type="dxa"/>
            <w:right w:w="0" w:type="dxa"/>
          </w:tblCellMar>
        </w:tblPrEx>
        <w:trPr>
          <w:trHeight w:val="523" w:hRule="atLeast"/>
          <w:jc w:val="center"/>
        </w:trPr>
        <w:tc>
          <w:tcPr>
            <w:tcW w:w="3113"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规章</w:t>
            </w:r>
          </w:p>
        </w:tc>
        <w:tc>
          <w:tcPr>
            <w:tcW w:w="187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　　0</w:t>
            </w:r>
          </w:p>
        </w:tc>
        <w:tc>
          <w:tcPr>
            <w:tcW w:w="15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宋体" w:cs="宋体"/>
                <w:kern w:val="0"/>
                <w:sz w:val="20"/>
                <w:szCs w:val="20"/>
              </w:rPr>
              <w:t> </w:t>
            </w:r>
            <w:r>
              <w:rPr>
                <w:rFonts w:hint="eastAsia" w:ascii="宋体" w:cs="宋体"/>
                <w:kern w:val="0"/>
                <w:sz w:val="20"/>
                <w:szCs w:val="20"/>
              </w:rPr>
              <w:t>0</w:t>
            </w:r>
          </w:p>
        </w:tc>
        <w:tc>
          <w:tcPr>
            <w:tcW w:w="1647"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　0</w:t>
            </w:r>
          </w:p>
        </w:tc>
      </w:tr>
      <w:tr>
        <w:tblPrEx>
          <w:tblCellMar>
            <w:top w:w="0" w:type="dxa"/>
            <w:left w:w="0" w:type="dxa"/>
            <w:bottom w:w="0" w:type="dxa"/>
            <w:right w:w="0" w:type="dxa"/>
          </w:tblCellMar>
        </w:tblPrEx>
        <w:trPr>
          <w:trHeight w:val="471" w:hRule="atLeast"/>
          <w:jc w:val="center"/>
        </w:trPr>
        <w:tc>
          <w:tcPr>
            <w:tcW w:w="3113"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规范性文件</w:t>
            </w:r>
          </w:p>
        </w:tc>
        <w:tc>
          <w:tcPr>
            <w:tcW w:w="187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　　0</w:t>
            </w:r>
          </w:p>
        </w:tc>
        <w:tc>
          <w:tcPr>
            <w:tcW w:w="15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宋体" w:cs="宋体"/>
                <w:kern w:val="0"/>
                <w:sz w:val="20"/>
                <w:szCs w:val="20"/>
              </w:rPr>
              <w:t> </w:t>
            </w:r>
            <w:r>
              <w:rPr>
                <w:rFonts w:hint="eastAsia" w:ascii="宋体" w:cs="宋体"/>
                <w:kern w:val="0"/>
                <w:sz w:val="20"/>
                <w:szCs w:val="20"/>
              </w:rPr>
              <w:t>0</w:t>
            </w:r>
          </w:p>
        </w:tc>
        <w:tc>
          <w:tcPr>
            <w:tcW w:w="1647"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　0</w:t>
            </w:r>
          </w:p>
        </w:tc>
      </w:tr>
      <w:tr>
        <w:tblPrEx>
          <w:tblCellMar>
            <w:top w:w="0" w:type="dxa"/>
            <w:left w:w="0" w:type="dxa"/>
            <w:bottom w:w="0" w:type="dxa"/>
            <w:right w:w="0" w:type="dxa"/>
          </w:tblCellMar>
        </w:tblPrEx>
        <w:trPr>
          <w:trHeight w:val="480"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第二十条第（五）项</w:t>
            </w:r>
          </w:p>
        </w:tc>
      </w:tr>
      <w:tr>
        <w:tblPrEx>
          <w:tblCellMar>
            <w:top w:w="0" w:type="dxa"/>
            <w:left w:w="0" w:type="dxa"/>
            <w:bottom w:w="0" w:type="dxa"/>
            <w:right w:w="0" w:type="dxa"/>
          </w:tblCellMar>
        </w:tblPrEx>
        <w:trPr>
          <w:trHeight w:val="634" w:hRule="atLeast"/>
          <w:jc w:val="center"/>
        </w:trPr>
        <w:tc>
          <w:tcPr>
            <w:tcW w:w="3113"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信息内容</w:t>
            </w:r>
          </w:p>
        </w:tc>
        <w:tc>
          <w:tcPr>
            <w:tcW w:w="5027" w:type="dxa"/>
            <w:gridSpan w:val="3"/>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本年处理决定数量</w:t>
            </w:r>
          </w:p>
        </w:tc>
      </w:tr>
      <w:tr>
        <w:tblPrEx>
          <w:tblCellMar>
            <w:top w:w="0" w:type="dxa"/>
            <w:left w:w="0" w:type="dxa"/>
            <w:bottom w:w="0" w:type="dxa"/>
            <w:right w:w="0" w:type="dxa"/>
          </w:tblCellMar>
        </w:tblPrEx>
        <w:trPr>
          <w:trHeight w:val="528" w:hRule="atLeast"/>
          <w:jc w:val="center"/>
        </w:trPr>
        <w:tc>
          <w:tcPr>
            <w:tcW w:w="3113"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行政许可</w:t>
            </w:r>
          </w:p>
        </w:tc>
        <w:tc>
          <w:tcPr>
            <w:tcW w:w="5027" w:type="dxa"/>
            <w:gridSpan w:val="3"/>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　                   57</w:t>
            </w:r>
          </w:p>
          <w:p>
            <w:pPr>
              <w:widowControl/>
              <w:jc w:val="left"/>
              <w:rPr>
                <w:rFonts w:ascii="宋体" w:cs="宋体"/>
                <w:kern w:val="0"/>
                <w:sz w:val="24"/>
              </w:rPr>
            </w:pPr>
            <w:r>
              <w:rPr>
                <w:rFonts w:hint="eastAsia" w:ascii="宋体" w:hAnsi="宋体" w:cs="宋体"/>
                <w:kern w:val="0"/>
                <w:sz w:val="20"/>
                <w:szCs w:val="20"/>
              </w:rPr>
              <w:t>　</w:t>
            </w:r>
          </w:p>
        </w:tc>
      </w:tr>
      <w:tr>
        <w:tblPrEx>
          <w:tblCellMar>
            <w:top w:w="0" w:type="dxa"/>
            <w:left w:w="0" w:type="dxa"/>
            <w:bottom w:w="0" w:type="dxa"/>
            <w:right w:w="0" w:type="dxa"/>
          </w:tblCellMar>
        </w:tblPrEx>
        <w:trPr>
          <w:trHeight w:val="406"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第二十条第（六）项</w:t>
            </w:r>
          </w:p>
        </w:tc>
      </w:tr>
      <w:tr>
        <w:tblPrEx>
          <w:tblCellMar>
            <w:top w:w="0" w:type="dxa"/>
            <w:left w:w="0" w:type="dxa"/>
            <w:bottom w:w="0" w:type="dxa"/>
            <w:right w:w="0" w:type="dxa"/>
          </w:tblCellMar>
        </w:tblPrEx>
        <w:trPr>
          <w:trHeight w:val="634" w:hRule="atLeast"/>
          <w:jc w:val="center"/>
        </w:trPr>
        <w:tc>
          <w:tcPr>
            <w:tcW w:w="3113"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信息内容</w:t>
            </w:r>
          </w:p>
        </w:tc>
        <w:tc>
          <w:tcPr>
            <w:tcW w:w="5027" w:type="dxa"/>
            <w:gridSpan w:val="3"/>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ind w:firstLine="1600" w:firstLineChars="800"/>
              <w:rPr>
                <w:rFonts w:ascii="宋体" w:cs="宋体"/>
                <w:kern w:val="0"/>
                <w:sz w:val="24"/>
              </w:rPr>
            </w:pPr>
            <w:r>
              <w:rPr>
                <w:rFonts w:hint="eastAsia" w:ascii="宋体" w:hAnsi="宋体" w:cs="宋体"/>
                <w:kern w:val="0"/>
                <w:sz w:val="20"/>
                <w:szCs w:val="20"/>
              </w:rPr>
              <w:t>本年处理决定数量</w:t>
            </w:r>
          </w:p>
        </w:tc>
      </w:tr>
      <w:tr>
        <w:tblPrEx>
          <w:tblCellMar>
            <w:top w:w="0" w:type="dxa"/>
            <w:left w:w="0" w:type="dxa"/>
            <w:bottom w:w="0" w:type="dxa"/>
            <w:right w:w="0" w:type="dxa"/>
          </w:tblCellMar>
        </w:tblPrEx>
        <w:trPr>
          <w:trHeight w:val="430" w:hRule="atLeast"/>
          <w:jc w:val="center"/>
        </w:trPr>
        <w:tc>
          <w:tcPr>
            <w:tcW w:w="3113"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行政处罚</w:t>
            </w:r>
          </w:p>
        </w:tc>
        <w:tc>
          <w:tcPr>
            <w:tcW w:w="5027" w:type="dxa"/>
            <w:gridSpan w:val="3"/>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　                    547案</w:t>
            </w:r>
          </w:p>
        </w:tc>
      </w:tr>
      <w:tr>
        <w:tblPrEx>
          <w:tblCellMar>
            <w:top w:w="0" w:type="dxa"/>
            <w:left w:w="0" w:type="dxa"/>
            <w:bottom w:w="0" w:type="dxa"/>
            <w:right w:w="0" w:type="dxa"/>
          </w:tblCellMar>
        </w:tblPrEx>
        <w:trPr>
          <w:trHeight w:val="409" w:hRule="atLeast"/>
          <w:jc w:val="center"/>
        </w:trPr>
        <w:tc>
          <w:tcPr>
            <w:tcW w:w="3113"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行政强制</w:t>
            </w:r>
          </w:p>
        </w:tc>
        <w:tc>
          <w:tcPr>
            <w:tcW w:w="5027" w:type="dxa"/>
            <w:gridSpan w:val="3"/>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　                     52</w:t>
            </w:r>
          </w:p>
        </w:tc>
      </w:tr>
      <w:tr>
        <w:tblPrEx>
          <w:tblCellMar>
            <w:top w:w="0" w:type="dxa"/>
            <w:left w:w="0" w:type="dxa"/>
            <w:bottom w:w="0" w:type="dxa"/>
            <w:right w:w="0" w:type="dxa"/>
          </w:tblCellMar>
        </w:tblPrEx>
        <w:trPr>
          <w:trHeight w:val="474"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第二十条第（八）项</w:t>
            </w:r>
          </w:p>
        </w:tc>
      </w:tr>
      <w:tr>
        <w:tblPrEx>
          <w:tblCellMar>
            <w:top w:w="0" w:type="dxa"/>
            <w:left w:w="0" w:type="dxa"/>
            <w:bottom w:w="0" w:type="dxa"/>
            <w:right w:w="0" w:type="dxa"/>
          </w:tblCellMar>
        </w:tblPrEx>
        <w:trPr>
          <w:trHeight w:val="270" w:hRule="atLeast"/>
          <w:jc w:val="center"/>
        </w:trPr>
        <w:tc>
          <w:tcPr>
            <w:tcW w:w="3113"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信息内容</w:t>
            </w:r>
          </w:p>
        </w:tc>
        <w:tc>
          <w:tcPr>
            <w:tcW w:w="5027" w:type="dxa"/>
            <w:gridSpan w:val="3"/>
            <w:tcBorders>
              <w:top w:val="nil"/>
              <w:left w:val="nil"/>
              <w:bottom w:val="single" w:color="auto" w:sz="8" w:space="0"/>
              <w:right w:val="single" w:color="000000" w:sz="8" w:space="0"/>
            </w:tcBorders>
            <w:tcMar>
              <w:top w:w="0" w:type="dxa"/>
              <w:left w:w="108" w:type="dxa"/>
              <w:bottom w:w="0" w:type="dxa"/>
              <w:right w:w="108" w:type="dxa"/>
            </w:tcMar>
            <w:vAlign w:val="center"/>
          </w:tcPr>
          <w:p>
            <w:pPr>
              <w:widowControl/>
              <w:ind w:firstLine="1800" w:firstLineChars="900"/>
              <w:jc w:val="left"/>
              <w:rPr>
                <w:rFonts w:ascii="宋体" w:cs="宋体"/>
                <w:kern w:val="0"/>
                <w:sz w:val="24"/>
              </w:rPr>
            </w:pPr>
            <w:r>
              <w:rPr>
                <w:rFonts w:hint="eastAsia" w:ascii="宋体" w:hAnsi="宋体" w:cs="宋体"/>
                <w:kern w:val="0"/>
                <w:sz w:val="20"/>
                <w:szCs w:val="20"/>
              </w:rPr>
              <w:t>本年收费金额（单位：万元）</w:t>
            </w:r>
          </w:p>
        </w:tc>
      </w:tr>
      <w:tr>
        <w:tblPrEx>
          <w:tblCellMar>
            <w:top w:w="0" w:type="dxa"/>
            <w:left w:w="0" w:type="dxa"/>
            <w:bottom w:w="0" w:type="dxa"/>
            <w:right w:w="0" w:type="dxa"/>
          </w:tblCellMar>
        </w:tblPrEx>
        <w:trPr>
          <w:trHeight w:val="551" w:hRule="atLeast"/>
          <w:jc w:val="center"/>
        </w:trPr>
        <w:tc>
          <w:tcPr>
            <w:tcW w:w="3113"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行政事业性收费</w:t>
            </w:r>
          </w:p>
        </w:tc>
        <w:tc>
          <w:tcPr>
            <w:tcW w:w="5027" w:type="dxa"/>
            <w:gridSpan w:val="3"/>
            <w:tcBorders>
              <w:top w:val="nil"/>
              <w:left w:val="nil"/>
              <w:bottom w:val="single" w:color="auto" w:sz="8" w:space="0"/>
              <w:right w:val="single" w:color="000000" w:sz="8" w:space="0"/>
            </w:tcBorders>
            <w:tcMar>
              <w:top w:w="0" w:type="dxa"/>
              <w:left w:w="108" w:type="dxa"/>
              <w:bottom w:w="0" w:type="dxa"/>
              <w:right w:w="108" w:type="dxa"/>
            </w:tcMar>
            <w:vAlign w:val="center"/>
          </w:tcPr>
          <w:p>
            <w:pPr>
              <w:widowControl/>
              <w:ind w:firstLine="1800" w:firstLineChars="900"/>
              <w:rPr>
                <w:rFonts w:ascii="宋体" w:cs="宋体"/>
                <w:kern w:val="0"/>
                <w:sz w:val="24"/>
              </w:rPr>
            </w:pPr>
            <w:r>
              <w:rPr>
                <w:rFonts w:hint="eastAsia" w:ascii="宋体" w:hAnsi="宋体" w:cs="宋体"/>
                <w:kern w:val="0"/>
                <w:sz w:val="20"/>
                <w:szCs w:val="20"/>
              </w:rPr>
              <w:t>3项7.9万元</w:t>
            </w:r>
            <w:r>
              <w:rPr>
                <w:rFonts w:ascii="宋体" w:cs="宋体"/>
                <w:kern w:val="0"/>
                <w:sz w:val="20"/>
                <w:szCs w:val="20"/>
              </w:rPr>
              <w:t> </w:t>
            </w:r>
          </w:p>
        </w:tc>
      </w:tr>
    </w:tbl>
    <w:p>
      <w:pPr>
        <w:widowControl/>
        <w:shd w:val="clear" w:color="auto" w:fill="FFFFFF"/>
        <w:ind w:firstLine="480"/>
        <w:rPr>
          <w:rFonts w:ascii="宋体" w:cs="宋体"/>
          <w:kern w:val="0"/>
          <w:sz w:val="20"/>
          <w:szCs w:val="20"/>
        </w:rPr>
      </w:pPr>
    </w:p>
    <w:p>
      <w:pPr>
        <w:widowControl/>
        <w:shd w:val="clear" w:color="auto" w:fill="FFFFFF"/>
        <w:spacing w:after="240"/>
        <w:ind w:firstLine="480"/>
        <w:rPr>
          <w:rFonts w:ascii="宋体" w:cs="宋体"/>
          <w:kern w:val="0"/>
          <w:sz w:val="32"/>
          <w:szCs w:val="32"/>
        </w:rPr>
      </w:pPr>
      <w:r>
        <w:rPr>
          <w:rFonts w:hint="eastAsia" w:ascii="宋体" w:hAnsi="宋体" w:cs="宋体"/>
          <w:bCs/>
          <w:kern w:val="0"/>
          <w:sz w:val="32"/>
          <w:szCs w:val="32"/>
        </w:rPr>
        <w:t>三、收到和处理政府信息公开申请情况</w:t>
      </w:r>
    </w:p>
    <w:tbl>
      <w:tblPr>
        <w:tblStyle w:val="2"/>
        <w:tblW w:w="9071" w:type="dxa"/>
        <w:jc w:val="center"/>
        <w:tblLayout w:type="fixed"/>
        <w:tblCellMar>
          <w:top w:w="0" w:type="dxa"/>
          <w:left w:w="0" w:type="dxa"/>
          <w:bottom w:w="0" w:type="dxa"/>
          <w:right w:w="0" w:type="dxa"/>
        </w:tblCellMar>
      </w:tblPr>
      <w:tblGrid>
        <w:gridCol w:w="617"/>
        <w:gridCol w:w="854"/>
        <w:gridCol w:w="2086"/>
        <w:gridCol w:w="813"/>
        <w:gridCol w:w="755"/>
        <w:gridCol w:w="755"/>
        <w:gridCol w:w="813"/>
        <w:gridCol w:w="973"/>
        <w:gridCol w:w="711"/>
        <w:gridCol w:w="694"/>
      </w:tblGrid>
      <w:tr>
        <w:tblPrEx>
          <w:tblCellMar>
            <w:top w:w="0" w:type="dxa"/>
            <w:left w:w="0" w:type="dxa"/>
            <w:bottom w:w="0" w:type="dxa"/>
            <w:right w:w="0" w:type="dxa"/>
          </w:tblCellMar>
        </w:tblPrEx>
        <w:trPr>
          <w:jc w:val="center"/>
        </w:trPr>
        <w:tc>
          <w:tcPr>
            <w:tcW w:w="3557" w:type="dxa"/>
            <w:gridSpan w:val="3"/>
            <w:vMerge w:val="restart"/>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（本列数据的勾稽关系为：第一项加第二项之和，等于第三项加第四项之和）</w:t>
            </w:r>
          </w:p>
        </w:tc>
        <w:tc>
          <w:tcPr>
            <w:tcW w:w="5514" w:type="dxa"/>
            <w:gridSpan w:val="7"/>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申请人情况</w:t>
            </w:r>
          </w:p>
        </w:tc>
      </w:tr>
      <w:tr>
        <w:tblPrEx>
          <w:tblCellMar>
            <w:top w:w="0" w:type="dxa"/>
            <w:left w:w="0" w:type="dxa"/>
            <w:bottom w:w="0" w:type="dxa"/>
            <w:right w:w="0" w:type="dxa"/>
          </w:tblCellMar>
        </w:tblPrEx>
        <w:trPr>
          <w:jc w:val="center"/>
        </w:trPr>
        <w:tc>
          <w:tcPr>
            <w:tcW w:w="3557" w:type="dxa"/>
            <w:gridSpan w:val="3"/>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13"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自然人</w:t>
            </w:r>
          </w:p>
        </w:tc>
        <w:tc>
          <w:tcPr>
            <w:tcW w:w="4007"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法人或其他组织</w:t>
            </w:r>
          </w:p>
        </w:tc>
        <w:tc>
          <w:tcPr>
            <w:tcW w:w="694"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总计</w:t>
            </w:r>
          </w:p>
        </w:tc>
      </w:tr>
      <w:tr>
        <w:tblPrEx>
          <w:tblCellMar>
            <w:top w:w="0" w:type="dxa"/>
            <w:left w:w="0" w:type="dxa"/>
            <w:bottom w:w="0" w:type="dxa"/>
            <w:right w:w="0" w:type="dxa"/>
          </w:tblCellMar>
        </w:tblPrEx>
        <w:trPr>
          <w:jc w:val="center"/>
        </w:trPr>
        <w:tc>
          <w:tcPr>
            <w:tcW w:w="3557" w:type="dxa"/>
            <w:gridSpan w:val="3"/>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13"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商业企业</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科研机构</w:t>
            </w:r>
          </w:p>
        </w:tc>
        <w:tc>
          <w:tcPr>
            <w:tcW w:w="813"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社会公益组织</w:t>
            </w:r>
          </w:p>
        </w:tc>
        <w:tc>
          <w:tcPr>
            <w:tcW w:w="973"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法律服务机构</w:t>
            </w:r>
          </w:p>
        </w:tc>
        <w:tc>
          <w:tcPr>
            <w:tcW w:w="711"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其他</w:t>
            </w:r>
          </w:p>
        </w:tc>
        <w:tc>
          <w:tcPr>
            <w:tcW w:w="694" w:type="dxa"/>
            <w:vMerge w:val="continue"/>
            <w:tcBorders>
              <w:top w:val="single" w:color="auto" w:sz="8" w:space="0"/>
              <w:left w:val="nil"/>
              <w:bottom w:val="single" w:color="auto" w:sz="8" w:space="0"/>
              <w:right w:val="single" w:color="auto" w:sz="8" w:space="0"/>
            </w:tcBorders>
            <w:vAlign w:val="center"/>
          </w:tcPr>
          <w:p>
            <w:pPr>
              <w:widowControl/>
              <w:jc w:val="left"/>
              <w:rPr>
                <w:rFonts w:ascii="宋体" w:cs="宋体"/>
                <w:kern w:val="0"/>
                <w:sz w:val="24"/>
              </w:rPr>
            </w:pPr>
          </w:p>
        </w:tc>
      </w:tr>
      <w:tr>
        <w:tblPrEx>
          <w:tblCellMar>
            <w:top w:w="0" w:type="dxa"/>
            <w:left w:w="0" w:type="dxa"/>
            <w:bottom w:w="0" w:type="dxa"/>
            <w:right w:w="0" w:type="dxa"/>
          </w:tblCellMar>
        </w:tblPrEx>
        <w:trPr>
          <w:jc w:val="center"/>
        </w:trPr>
        <w:tc>
          <w:tcPr>
            <w:tcW w:w="3557"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一、本年新收政府信息公开申请数量</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3557"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二、上年结转政府信息公开申请数量</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三、本年度办理结果</w:t>
            </w:r>
          </w:p>
        </w:tc>
        <w:tc>
          <w:tcPr>
            <w:tcW w:w="2940"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楷体" w:hAnsi="楷体" w:eastAsia="楷体" w:cs="宋体"/>
                <w:kern w:val="0"/>
                <w:sz w:val="20"/>
                <w:szCs w:val="20"/>
              </w:rPr>
              <w:t>（一）予以公开</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2940"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楷体" w:hAnsi="楷体" w:eastAsia="楷体" w:cs="宋体"/>
                <w:kern w:val="0"/>
                <w:sz w:val="20"/>
                <w:szCs w:val="20"/>
              </w:rPr>
              <w:t>（二）部分公开（区分处理的，只计这一情形，不计其他情形）</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楷体" w:hAnsi="楷体" w:eastAsia="楷体" w:cs="宋体"/>
                <w:kern w:val="0"/>
                <w:sz w:val="20"/>
                <w:szCs w:val="20"/>
              </w:rPr>
              <w:t>（三）不予公开</w:t>
            </w: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1.</w:t>
            </w:r>
            <w:r>
              <w:rPr>
                <w:rFonts w:hint="eastAsia" w:ascii="楷体" w:hAnsi="楷体" w:eastAsia="楷体" w:cs="宋体"/>
                <w:kern w:val="0"/>
                <w:sz w:val="20"/>
                <w:szCs w:val="20"/>
              </w:rPr>
              <w:t>属于国家秘密</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2.</w:t>
            </w:r>
            <w:r>
              <w:rPr>
                <w:rFonts w:hint="eastAsia" w:ascii="楷体" w:hAnsi="楷体" w:eastAsia="楷体" w:cs="宋体"/>
                <w:kern w:val="0"/>
                <w:sz w:val="20"/>
                <w:szCs w:val="20"/>
              </w:rPr>
              <w:t>其他法律行政法规禁止公开</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3.</w:t>
            </w:r>
            <w:r>
              <w:rPr>
                <w:rFonts w:hint="eastAsia" w:ascii="楷体" w:hAnsi="楷体" w:eastAsia="楷体" w:cs="宋体"/>
                <w:kern w:val="0"/>
                <w:sz w:val="20"/>
                <w:szCs w:val="20"/>
              </w:rPr>
              <w:t>危及“三安全一稳定”</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4.</w:t>
            </w:r>
            <w:r>
              <w:rPr>
                <w:rFonts w:hint="eastAsia" w:ascii="楷体" w:hAnsi="楷体" w:eastAsia="楷体" w:cs="宋体"/>
                <w:kern w:val="0"/>
                <w:sz w:val="20"/>
                <w:szCs w:val="20"/>
              </w:rPr>
              <w:t>保护第三方合法权益</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5.</w:t>
            </w:r>
            <w:r>
              <w:rPr>
                <w:rFonts w:hint="eastAsia" w:ascii="楷体" w:hAnsi="楷体" w:eastAsia="楷体" w:cs="宋体"/>
                <w:kern w:val="0"/>
                <w:sz w:val="20"/>
                <w:szCs w:val="20"/>
              </w:rPr>
              <w:t>属于三类内部事务信息</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6.</w:t>
            </w:r>
            <w:r>
              <w:rPr>
                <w:rFonts w:hint="eastAsia" w:ascii="楷体" w:hAnsi="楷体" w:eastAsia="楷体" w:cs="宋体"/>
                <w:kern w:val="0"/>
                <w:sz w:val="20"/>
                <w:szCs w:val="20"/>
              </w:rPr>
              <w:t>属于四类过程性信息</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7.</w:t>
            </w:r>
            <w:r>
              <w:rPr>
                <w:rFonts w:hint="eastAsia" w:ascii="楷体" w:hAnsi="楷体" w:eastAsia="楷体" w:cs="宋体"/>
                <w:kern w:val="0"/>
                <w:sz w:val="20"/>
                <w:szCs w:val="20"/>
              </w:rPr>
              <w:t>属于行政执法案卷</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8.</w:t>
            </w:r>
            <w:r>
              <w:rPr>
                <w:rFonts w:hint="eastAsia" w:ascii="楷体" w:hAnsi="楷体" w:eastAsia="楷体" w:cs="宋体"/>
                <w:kern w:val="0"/>
                <w:sz w:val="20"/>
                <w:szCs w:val="20"/>
              </w:rPr>
              <w:t>属于行政查询事项</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楷体" w:hAnsi="楷体" w:eastAsia="楷体" w:cs="宋体"/>
                <w:kern w:val="0"/>
                <w:sz w:val="20"/>
                <w:szCs w:val="20"/>
              </w:rPr>
              <w:t>（四）无法提供</w:t>
            </w: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1.</w:t>
            </w:r>
            <w:r>
              <w:rPr>
                <w:rFonts w:hint="eastAsia" w:ascii="楷体" w:hAnsi="楷体" w:eastAsia="楷体" w:cs="宋体"/>
                <w:kern w:val="0"/>
                <w:sz w:val="20"/>
                <w:szCs w:val="20"/>
              </w:rPr>
              <w:t>本机关不掌握相关政府信息</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2.</w:t>
            </w:r>
            <w:r>
              <w:rPr>
                <w:rFonts w:hint="eastAsia" w:ascii="楷体" w:hAnsi="楷体" w:eastAsia="楷体" w:cs="宋体"/>
                <w:kern w:val="0"/>
                <w:sz w:val="20"/>
                <w:szCs w:val="20"/>
              </w:rPr>
              <w:t>没有现成信息需要另行制作</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3.</w:t>
            </w:r>
            <w:r>
              <w:rPr>
                <w:rFonts w:hint="eastAsia" w:ascii="楷体" w:hAnsi="楷体" w:eastAsia="楷体" w:cs="宋体"/>
                <w:kern w:val="0"/>
                <w:sz w:val="20"/>
                <w:szCs w:val="20"/>
              </w:rPr>
              <w:t>补正后申请内容仍不明确</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楷体" w:hAnsi="楷体" w:eastAsia="楷体" w:cs="宋体"/>
                <w:kern w:val="0"/>
                <w:sz w:val="20"/>
                <w:szCs w:val="20"/>
              </w:rPr>
              <w:t>（五）不予处理</w:t>
            </w: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1.</w:t>
            </w:r>
            <w:r>
              <w:rPr>
                <w:rFonts w:hint="eastAsia" w:ascii="楷体" w:hAnsi="楷体" w:eastAsia="楷体" w:cs="宋体"/>
                <w:kern w:val="0"/>
                <w:sz w:val="20"/>
                <w:szCs w:val="20"/>
              </w:rPr>
              <w:t>信访举报投诉类申请</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2.</w:t>
            </w:r>
            <w:r>
              <w:rPr>
                <w:rFonts w:hint="eastAsia" w:ascii="楷体" w:hAnsi="楷体" w:eastAsia="楷体" w:cs="宋体"/>
                <w:kern w:val="0"/>
                <w:sz w:val="20"/>
                <w:szCs w:val="20"/>
              </w:rPr>
              <w:t>重复申请</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3.</w:t>
            </w:r>
            <w:r>
              <w:rPr>
                <w:rFonts w:hint="eastAsia" w:ascii="楷体" w:hAnsi="楷体" w:eastAsia="楷体" w:cs="宋体"/>
                <w:kern w:val="0"/>
                <w:sz w:val="20"/>
                <w:szCs w:val="20"/>
              </w:rPr>
              <w:t>要求提供公开出版物</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4.</w:t>
            </w:r>
            <w:r>
              <w:rPr>
                <w:rFonts w:hint="eastAsia" w:ascii="楷体" w:hAnsi="楷体" w:eastAsia="楷体" w:cs="宋体"/>
                <w:kern w:val="0"/>
                <w:sz w:val="20"/>
                <w:szCs w:val="20"/>
              </w:rPr>
              <w:t>无正当理由大量反复申请</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85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208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ascii="楷体" w:hAnsi="楷体" w:eastAsia="楷体" w:cs="宋体"/>
                <w:kern w:val="0"/>
                <w:sz w:val="20"/>
                <w:szCs w:val="20"/>
              </w:rPr>
              <w:t>5.</w:t>
            </w:r>
            <w:r>
              <w:rPr>
                <w:rFonts w:hint="eastAsia" w:ascii="楷体" w:hAnsi="楷体" w:eastAsia="楷体" w:cs="宋体"/>
                <w:kern w:val="0"/>
                <w:sz w:val="20"/>
                <w:szCs w:val="20"/>
              </w:rPr>
              <w:t>要求行政机关确认或重新出具已获取信息</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2940"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楷体" w:hAnsi="楷体" w:eastAsia="楷体" w:cs="宋体"/>
                <w:kern w:val="0"/>
                <w:sz w:val="20"/>
                <w:szCs w:val="20"/>
              </w:rPr>
              <w:t>（六）其他处理</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61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2940"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楷体" w:hAnsi="楷体" w:eastAsia="楷体" w:cs="宋体"/>
                <w:kern w:val="0"/>
                <w:sz w:val="20"/>
                <w:szCs w:val="20"/>
              </w:rPr>
              <w:t>（七）总计</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cs="宋体"/>
                <w:kern w:val="0"/>
                <w:sz w:val="20"/>
                <w:szCs w:val="20"/>
              </w:rPr>
              <w:t>0</w:t>
            </w:r>
          </w:p>
        </w:tc>
      </w:tr>
      <w:tr>
        <w:tblPrEx>
          <w:tblCellMar>
            <w:top w:w="0" w:type="dxa"/>
            <w:left w:w="0" w:type="dxa"/>
            <w:bottom w:w="0" w:type="dxa"/>
            <w:right w:w="0" w:type="dxa"/>
          </w:tblCellMar>
        </w:tblPrEx>
        <w:trPr>
          <w:jc w:val="center"/>
        </w:trPr>
        <w:tc>
          <w:tcPr>
            <w:tcW w:w="3557"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cs="宋体"/>
                <w:kern w:val="0"/>
                <w:sz w:val="24"/>
              </w:rPr>
            </w:pPr>
            <w:r>
              <w:rPr>
                <w:rFonts w:hint="eastAsia" w:ascii="宋体" w:hAnsi="宋体" w:cs="宋体"/>
                <w:kern w:val="0"/>
                <w:sz w:val="20"/>
                <w:szCs w:val="20"/>
              </w:rPr>
              <w:t>四、结转下年度继续办理</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5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rPr>
                <w:rFonts w:ascii="宋体" w:cs="宋体"/>
                <w:kern w:val="0"/>
                <w:sz w:val="24"/>
              </w:rPr>
            </w:pPr>
            <w:r>
              <w:rPr>
                <w:rFonts w:cs="宋体"/>
                <w:kern w:val="0"/>
                <w:sz w:val="20"/>
                <w:szCs w:val="20"/>
              </w:rPr>
              <w:t>  0</w:t>
            </w:r>
          </w:p>
        </w:tc>
        <w:tc>
          <w:tcPr>
            <w:tcW w:w="81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973"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71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9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cs="宋体"/>
                <w:kern w:val="0"/>
                <w:sz w:val="24"/>
              </w:rPr>
              <w:t>0</w:t>
            </w:r>
          </w:p>
        </w:tc>
      </w:tr>
    </w:tbl>
    <w:p>
      <w:pPr>
        <w:widowControl/>
        <w:shd w:val="clear" w:color="auto" w:fill="FFFFFF"/>
        <w:ind w:firstLine="480"/>
        <w:rPr>
          <w:rFonts w:ascii="宋体" w:cs="宋体"/>
          <w:kern w:val="0"/>
          <w:sz w:val="20"/>
          <w:szCs w:val="20"/>
        </w:rPr>
      </w:pPr>
    </w:p>
    <w:p>
      <w:pPr>
        <w:widowControl/>
        <w:shd w:val="clear" w:color="auto" w:fill="FFFFFF"/>
        <w:ind w:firstLine="480"/>
        <w:rPr>
          <w:rFonts w:ascii="黑体" w:hAnsi="黑体" w:eastAsia="黑体" w:cs="黑体"/>
          <w:kern w:val="0"/>
          <w:sz w:val="32"/>
          <w:szCs w:val="32"/>
        </w:rPr>
      </w:pPr>
      <w:r>
        <w:rPr>
          <w:rFonts w:hint="eastAsia" w:ascii="黑体" w:hAnsi="黑体" w:eastAsia="黑体" w:cs="黑体"/>
          <w:bCs/>
          <w:kern w:val="0"/>
          <w:sz w:val="32"/>
          <w:szCs w:val="32"/>
        </w:rPr>
        <w:t>四、政府信息公开行政复议、行政诉讼情况</w:t>
      </w:r>
    </w:p>
    <w:p>
      <w:pPr>
        <w:widowControl/>
        <w:shd w:val="clear" w:color="auto" w:fill="FFFFFF"/>
        <w:ind w:firstLine="480"/>
        <w:rPr>
          <w:rFonts w:ascii="宋体" w:cs="宋体"/>
          <w:kern w:val="0"/>
          <w:sz w:val="20"/>
          <w:szCs w:val="20"/>
        </w:rPr>
      </w:pPr>
    </w:p>
    <w:tbl>
      <w:tblPr>
        <w:tblStyle w:val="2"/>
        <w:tblW w:w="9071" w:type="dxa"/>
        <w:jc w:val="center"/>
        <w:tblLayout w:type="fixed"/>
        <w:tblCellMar>
          <w:top w:w="0" w:type="dxa"/>
          <w:left w:w="0" w:type="dxa"/>
          <w:bottom w:w="0" w:type="dxa"/>
          <w:right w:w="0" w:type="dxa"/>
        </w:tblCellMar>
      </w:tblPr>
      <w:tblGrid>
        <w:gridCol w:w="604"/>
        <w:gridCol w:w="604"/>
        <w:gridCol w:w="604"/>
        <w:gridCol w:w="604"/>
        <w:gridCol w:w="658"/>
        <w:gridCol w:w="550"/>
        <w:gridCol w:w="605"/>
        <w:gridCol w:w="605"/>
        <w:gridCol w:w="605"/>
        <w:gridCol w:w="605"/>
        <w:gridCol w:w="605"/>
        <w:gridCol w:w="605"/>
        <w:gridCol w:w="605"/>
        <w:gridCol w:w="606"/>
        <w:gridCol w:w="606"/>
      </w:tblGrid>
      <w:tr>
        <w:tblPrEx>
          <w:tblCellMar>
            <w:top w:w="0" w:type="dxa"/>
            <w:left w:w="0" w:type="dxa"/>
            <w:bottom w:w="0" w:type="dxa"/>
            <w:right w:w="0" w:type="dxa"/>
          </w:tblCellMar>
        </w:tblPrEx>
        <w:trPr>
          <w:jc w:val="center"/>
        </w:trPr>
        <w:tc>
          <w:tcPr>
            <w:tcW w:w="3074" w:type="dxa"/>
            <w:gridSpan w:val="5"/>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行政复议</w:t>
            </w:r>
          </w:p>
        </w:tc>
        <w:tc>
          <w:tcPr>
            <w:tcW w:w="5997" w:type="dxa"/>
            <w:gridSpan w:val="10"/>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行政诉讼</w:t>
            </w:r>
          </w:p>
        </w:tc>
      </w:tr>
      <w:tr>
        <w:tblPrEx>
          <w:tblCellMar>
            <w:top w:w="0" w:type="dxa"/>
            <w:left w:w="0" w:type="dxa"/>
            <w:bottom w:w="0" w:type="dxa"/>
            <w:right w:w="0" w:type="dxa"/>
          </w:tblCellMar>
        </w:tblPrEx>
        <w:trPr>
          <w:jc w:val="center"/>
        </w:trPr>
        <w:tc>
          <w:tcPr>
            <w:tcW w:w="604"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结果维持</w:t>
            </w:r>
          </w:p>
        </w:tc>
        <w:tc>
          <w:tcPr>
            <w:tcW w:w="604"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结果纠正</w:t>
            </w:r>
          </w:p>
        </w:tc>
        <w:tc>
          <w:tcPr>
            <w:tcW w:w="604"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其他结果</w:t>
            </w:r>
          </w:p>
        </w:tc>
        <w:tc>
          <w:tcPr>
            <w:tcW w:w="604"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尚未审结</w:t>
            </w:r>
          </w:p>
        </w:tc>
        <w:tc>
          <w:tcPr>
            <w:tcW w:w="658"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总计</w:t>
            </w:r>
          </w:p>
        </w:tc>
        <w:tc>
          <w:tcPr>
            <w:tcW w:w="2970"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未经复议直接起诉</w:t>
            </w:r>
          </w:p>
        </w:tc>
        <w:tc>
          <w:tcPr>
            <w:tcW w:w="3027"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复议后起诉</w:t>
            </w:r>
          </w:p>
        </w:tc>
      </w:tr>
      <w:tr>
        <w:tblPrEx>
          <w:tblCellMar>
            <w:top w:w="0" w:type="dxa"/>
            <w:left w:w="0" w:type="dxa"/>
            <w:bottom w:w="0" w:type="dxa"/>
            <w:right w:w="0" w:type="dxa"/>
          </w:tblCellMar>
        </w:tblPrEx>
        <w:trPr>
          <w:jc w:val="center"/>
        </w:trPr>
        <w:tc>
          <w:tcPr>
            <w:tcW w:w="604"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s="宋体"/>
                <w:kern w:val="0"/>
                <w:sz w:val="24"/>
              </w:rPr>
            </w:pPr>
          </w:p>
        </w:tc>
        <w:tc>
          <w:tcPr>
            <w:tcW w:w="604" w:type="dxa"/>
            <w:vMerge w:val="continue"/>
            <w:tcBorders>
              <w:top w:val="nil"/>
              <w:left w:val="nil"/>
              <w:bottom w:val="single" w:color="auto" w:sz="8" w:space="0"/>
              <w:right w:val="single" w:color="auto" w:sz="8" w:space="0"/>
            </w:tcBorders>
            <w:vAlign w:val="center"/>
          </w:tcPr>
          <w:p>
            <w:pPr>
              <w:widowControl/>
              <w:jc w:val="left"/>
              <w:rPr>
                <w:rFonts w:ascii="宋体" w:cs="宋体"/>
                <w:kern w:val="0"/>
                <w:sz w:val="24"/>
              </w:rPr>
            </w:pPr>
          </w:p>
        </w:tc>
        <w:tc>
          <w:tcPr>
            <w:tcW w:w="604" w:type="dxa"/>
            <w:vMerge w:val="continue"/>
            <w:tcBorders>
              <w:top w:val="single" w:color="auto" w:sz="8" w:space="0"/>
              <w:left w:val="nil"/>
              <w:bottom w:val="single" w:color="auto" w:sz="8" w:space="0"/>
              <w:right w:val="single" w:color="auto" w:sz="8" w:space="0"/>
            </w:tcBorders>
            <w:vAlign w:val="center"/>
          </w:tcPr>
          <w:p>
            <w:pPr>
              <w:widowControl/>
              <w:jc w:val="left"/>
              <w:rPr>
                <w:rFonts w:ascii="宋体" w:cs="宋体"/>
                <w:kern w:val="0"/>
                <w:sz w:val="24"/>
              </w:rPr>
            </w:pPr>
          </w:p>
        </w:tc>
        <w:tc>
          <w:tcPr>
            <w:tcW w:w="604" w:type="dxa"/>
            <w:vMerge w:val="continue"/>
            <w:tcBorders>
              <w:top w:val="single" w:color="auto" w:sz="8" w:space="0"/>
              <w:left w:val="nil"/>
              <w:bottom w:val="single" w:color="auto" w:sz="8" w:space="0"/>
              <w:right w:val="single" w:color="auto" w:sz="8" w:space="0"/>
            </w:tcBorders>
            <w:vAlign w:val="center"/>
          </w:tcPr>
          <w:p>
            <w:pPr>
              <w:widowControl/>
              <w:jc w:val="left"/>
              <w:rPr>
                <w:rFonts w:ascii="宋体" w:cs="宋体"/>
                <w:kern w:val="0"/>
                <w:sz w:val="24"/>
              </w:rPr>
            </w:pPr>
          </w:p>
        </w:tc>
        <w:tc>
          <w:tcPr>
            <w:tcW w:w="658" w:type="dxa"/>
            <w:vMerge w:val="continue"/>
            <w:tcBorders>
              <w:top w:val="single" w:color="auto" w:sz="8" w:space="0"/>
              <w:left w:val="nil"/>
              <w:bottom w:val="single" w:color="auto" w:sz="8" w:space="0"/>
              <w:right w:val="single" w:color="auto" w:sz="8" w:space="0"/>
            </w:tcBorders>
            <w:vAlign w:val="center"/>
          </w:tcPr>
          <w:p>
            <w:pPr>
              <w:widowControl/>
              <w:jc w:val="left"/>
              <w:rPr>
                <w:rFonts w:ascii="宋体" w:cs="宋体"/>
                <w:kern w:val="0"/>
                <w:sz w:val="24"/>
              </w:rPr>
            </w:pPr>
          </w:p>
        </w:tc>
        <w:tc>
          <w:tcPr>
            <w:tcW w:w="55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结果维持</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结果纠正</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其他结果</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尚未审结</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总计</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结果维持</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结果纠正</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其他结果</w:t>
            </w:r>
          </w:p>
        </w:tc>
        <w:tc>
          <w:tcPr>
            <w:tcW w:w="606"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尚未审结</w:t>
            </w:r>
          </w:p>
        </w:tc>
        <w:tc>
          <w:tcPr>
            <w:tcW w:w="606"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hAnsi="宋体" w:cs="宋体"/>
                <w:kern w:val="0"/>
                <w:sz w:val="20"/>
                <w:szCs w:val="20"/>
              </w:rPr>
              <w:t>总计</w:t>
            </w:r>
          </w:p>
        </w:tc>
      </w:tr>
      <w:tr>
        <w:tblPrEx>
          <w:tblCellMar>
            <w:top w:w="0" w:type="dxa"/>
            <w:left w:w="0" w:type="dxa"/>
            <w:bottom w:w="0" w:type="dxa"/>
            <w:right w:w="0" w:type="dxa"/>
          </w:tblCellMar>
        </w:tblPrEx>
        <w:trPr>
          <w:trHeight w:val="617" w:hRule="atLeast"/>
          <w:jc w:val="center"/>
        </w:trPr>
        <w:tc>
          <w:tcPr>
            <w:tcW w:w="604"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58"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cs="宋体"/>
                <w:kern w:val="0"/>
                <w:sz w:val="24"/>
              </w:rPr>
              <w:t>0</w:t>
            </w:r>
          </w:p>
        </w:tc>
        <w:tc>
          <w:tcPr>
            <w:tcW w:w="55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ascii="宋体" w:cs="宋体"/>
                <w:kern w:val="0"/>
                <w:sz w:val="20"/>
                <w:szCs w:val="20"/>
              </w:rPr>
              <w:t> </w:t>
            </w:r>
            <w:r>
              <w:rPr>
                <w:rFonts w:hint="eastAsia" w:ascii="宋体" w:cs="宋体"/>
                <w:kern w:val="0"/>
                <w:sz w:val="20"/>
                <w:szCs w:val="20"/>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 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0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cs="宋体"/>
                <w:kern w:val="0"/>
                <w:sz w:val="20"/>
                <w:szCs w:val="20"/>
              </w:rPr>
              <w:t>0 </w:t>
            </w:r>
          </w:p>
        </w:tc>
        <w:tc>
          <w:tcPr>
            <w:tcW w:w="60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cs="宋体"/>
                <w:kern w:val="0"/>
                <w:sz w:val="24"/>
              </w:rPr>
            </w:pPr>
            <w:r>
              <w:rPr>
                <w:rFonts w:hint="eastAsia" w:ascii="宋体" w:cs="宋体"/>
                <w:kern w:val="0"/>
                <w:sz w:val="24"/>
              </w:rPr>
              <w:t>0</w:t>
            </w:r>
          </w:p>
        </w:tc>
      </w:tr>
    </w:tbl>
    <w:p>
      <w:pPr>
        <w:widowControl/>
        <w:shd w:val="clear" w:color="auto" w:fill="FFFFFF"/>
        <w:jc w:val="center"/>
        <w:rPr>
          <w:rFonts w:ascii="宋体" w:cs="宋体"/>
          <w:kern w:val="0"/>
          <w:sz w:val="20"/>
          <w:szCs w:val="20"/>
        </w:rPr>
      </w:pPr>
    </w:p>
    <w:p>
      <w:pPr>
        <w:widowControl/>
        <w:shd w:val="clear" w:color="auto" w:fill="FFFFFF"/>
        <w:spacing w:line="680" w:lineRule="atLeast"/>
        <w:ind w:firstLine="640" w:firstLineChars="200"/>
        <w:rPr>
          <w:rFonts w:ascii="黑体" w:hAnsi="黑体" w:eastAsia="黑体" w:cs="黑体"/>
          <w:kern w:val="0"/>
          <w:sz w:val="32"/>
          <w:szCs w:val="32"/>
        </w:rPr>
      </w:pPr>
      <w:r>
        <w:rPr>
          <w:rFonts w:hint="eastAsia" w:ascii="黑体" w:hAnsi="黑体" w:eastAsia="黑体" w:cs="黑体"/>
          <w:bCs/>
          <w:kern w:val="0"/>
          <w:sz w:val="32"/>
          <w:szCs w:val="32"/>
        </w:rPr>
        <w:t>五、存在的主要问题及改进情况</w:t>
      </w:r>
    </w:p>
    <w:p>
      <w:pPr>
        <w:spacing w:line="680" w:lineRule="atLeas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虽然信息公开工作取得了一定成效，但与上级的工作要求和社会公众的期望相比，还存在一定差距。主要表现在：一是主动公开的意识还不强烈；二是公开工作的责任、程序还不流畅；三是公开的机制还不健全。针对上述问题，今年要重点做好以下几个方面的工作：</w:t>
      </w:r>
      <w:r>
        <w:rPr>
          <w:rFonts w:hint="eastAsia" w:ascii="仿宋_GB2312" w:hAnsi="仿宋_GB2312" w:eastAsia="仿宋_GB2312" w:cs="仿宋_GB2312"/>
          <w:b/>
          <w:sz w:val="32"/>
          <w:szCs w:val="32"/>
        </w:rPr>
        <w:t>一是</w:t>
      </w:r>
      <w:r>
        <w:rPr>
          <w:rFonts w:hint="eastAsia" w:ascii="仿宋_GB2312" w:hAnsi="仿宋_GB2312" w:eastAsia="仿宋_GB2312" w:cs="仿宋_GB2312"/>
          <w:sz w:val="32"/>
          <w:szCs w:val="32"/>
          <w:lang w:eastAsia="zh-CN"/>
        </w:rPr>
        <w:t>提高政治站位</w:t>
      </w:r>
      <w:r>
        <w:rPr>
          <w:rFonts w:hint="eastAsia" w:ascii="仿宋_GB2312" w:hAnsi="仿宋_GB2312" w:eastAsia="仿宋_GB2312" w:cs="仿宋_GB2312"/>
          <w:sz w:val="32"/>
          <w:szCs w:val="32"/>
        </w:rPr>
        <w:t>，切实把政府信息公开工作抓紧抓实抓出成效。二是健全工作机制，切实把责任、任务明确到人，倒逼工作推进。三是加大公开力度，切实让群众更深入地了解公安工作，不断改进公安机关良好形象。四是深化公安改革，切实方便服务群众，提升群众获得获得感、幸福感。</w:t>
      </w:r>
    </w:p>
    <w:p>
      <w:pPr>
        <w:widowControl/>
        <w:shd w:val="clear" w:color="auto" w:fill="FFFFFF"/>
        <w:spacing w:line="680" w:lineRule="atLeast"/>
        <w:ind w:firstLine="480"/>
        <w:rPr>
          <w:rFonts w:ascii="黑体" w:hAnsi="黑体" w:eastAsia="黑体" w:cs="黑体"/>
          <w:bCs/>
          <w:kern w:val="0"/>
          <w:sz w:val="32"/>
          <w:szCs w:val="32"/>
        </w:rPr>
      </w:pPr>
      <w:r>
        <w:rPr>
          <w:rFonts w:hint="eastAsia" w:ascii="黑体" w:hAnsi="黑体" w:eastAsia="黑体" w:cs="黑体"/>
          <w:bCs/>
          <w:kern w:val="0"/>
          <w:sz w:val="32"/>
          <w:szCs w:val="32"/>
        </w:rPr>
        <w:t>六、其他需要报告的事项</w:t>
      </w:r>
    </w:p>
    <w:p>
      <w:pPr>
        <w:widowControl/>
        <w:shd w:val="clear" w:color="auto" w:fill="FFFFFF"/>
        <w:spacing w:line="680" w:lineRule="atLeast"/>
        <w:ind w:firstLine="48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无</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00000000000000000"/>
    <w:charset w:val="86"/>
    <w:family w:val="auto"/>
    <w:pitch w:val="default"/>
    <w:sig w:usb0="00000000" w:usb1="00000000" w:usb2="00000012" w:usb3="00000000" w:csb0="00040001" w:csb1="00000000"/>
  </w:font>
  <w:font w:name="华文细黑">
    <w:altName w:val="黑体"/>
    <w:panose1 w:val="00000000000000000000"/>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ACD364"/>
    <w:multiLevelType w:val="singleLevel"/>
    <w:tmpl w:val="8DACD364"/>
    <w:lvl w:ilvl="0" w:tentative="0">
      <w:start w:val="4"/>
      <w:numFmt w:val="decimal"/>
      <w:suff w:val="nothing"/>
      <w:lvlText w:val="%1、"/>
      <w:lvlJc w:val="left"/>
    </w:lvl>
  </w:abstractNum>
  <w:abstractNum w:abstractNumId="1">
    <w:nsid w:val="B547DF0E"/>
    <w:multiLevelType w:val="singleLevel"/>
    <w:tmpl w:val="B547DF0E"/>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IxZTllMDdjZTZjMDZjYjgwY2ViMzM4ZjMwZWY1ZmUifQ=="/>
  </w:docVars>
  <w:rsids>
    <w:rsidRoot w:val="0088250E"/>
    <w:rsid w:val="0088250E"/>
    <w:rsid w:val="00F253CE"/>
    <w:rsid w:val="046903C3"/>
    <w:rsid w:val="0E4330CA"/>
    <w:rsid w:val="164756E1"/>
    <w:rsid w:val="1E2B2B3C"/>
    <w:rsid w:val="22986FAE"/>
    <w:rsid w:val="26DE0FD1"/>
    <w:rsid w:val="32C93EBE"/>
    <w:rsid w:val="41A1142A"/>
    <w:rsid w:val="46C93D27"/>
    <w:rsid w:val="5AFF07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2417</Words>
  <Characters>2488</Characters>
  <Lines>22</Lines>
  <Paragraphs>6</Paragraphs>
  <TotalTime>0</TotalTime>
  <ScaleCrop>false</ScaleCrop>
  <LinksUpToDate>false</LinksUpToDate>
  <CharactersWithSpaces>2736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2022-02-23T11:07:00Z</dcterms:created>
  <dc:creator>Administrator</dc:creator>
  <cp:lastModifiedBy>%F0%9F%8D%92Elaine%E9%A5%BC%E5%A6%9E%F0%</cp:lastModifiedBy>
  <dcterms:modified xsi:type="dcterms:W3CDTF">2024-06-17T00:10:09Z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06EAB34630E740E69A5478D384F0A639</vt:lpwstr>
  </property>
</Properties>
</file>