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区工信局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w:t>
      </w:r>
      <w:r>
        <w:rPr>
          <w:rFonts w:hint="default" w:ascii="方正小标宋简体" w:hAnsi="方正小标宋简体" w:eastAsia="方正小标宋简体" w:cs="方正小标宋简体"/>
          <w:sz w:val="44"/>
          <w:szCs w:val="44"/>
          <w:lang w:eastAsia="zh-CN"/>
        </w:rPr>
        <w:t>1</w:t>
      </w:r>
      <w:r>
        <w:rPr>
          <w:rFonts w:hint="eastAsia" w:ascii="方正小标宋简体" w:hAnsi="方正小标宋简体" w:eastAsia="方正小标宋简体" w:cs="方正小标宋简体"/>
          <w:sz w:val="44"/>
          <w:szCs w:val="44"/>
          <w:lang w:val="en-US" w:eastAsia="zh-CN"/>
        </w:rPr>
        <w:t>年政府信息公开年报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0" w:leftChars="0" w:firstLine="64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总体情况</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根据《中华人民共和国政府信息公开条例》，20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年，我局进一步加大政府信息公开咨询、申请以及答复工作力度，在继续做好目录编制、平台建设、制度建设、业务培训等基础性工作的基础上，深入推进政府信息公开工作。</w:t>
      </w:r>
    </w:p>
    <w:p>
      <w:pPr>
        <w:spacing w:line="360" w:lineRule="auto"/>
        <w:ind w:firstLine="642"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（一）进一步加强组织领导。</w:t>
      </w:r>
      <w:r>
        <w:rPr>
          <w:rFonts w:hint="eastAsia" w:ascii="仿宋_GB2312" w:hAnsi="仿宋_GB2312" w:eastAsia="仿宋_GB2312" w:cs="仿宋_GB2312"/>
          <w:sz w:val="32"/>
          <w:szCs w:val="32"/>
        </w:rPr>
        <w:t>为切实加强我局政府信息公开工作的组织领导，我局将工作机构定为局办公室负责，各</w:t>
      </w:r>
      <w:r>
        <w:rPr>
          <w:rFonts w:hint="eastAsia" w:ascii="仿宋_GB2312" w:hAnsi="仿宋_GB2312" w:eastAsia="仿宋_GB2312" w:cs="仿宋_GB2312"/>
          <w:sz w:val="32"/>
          <w:szCs w:val="32"/>
          <w:lang w:eastAsia="zh-CN"/>
        </w:rPr>
        <w:t>股</w:t>
      </w:r>
      <w:r>
        <w:rPr>
          <w:rFonts w:hint="eastAsia" w:ascii="仿宋_GB2312" w:hAnsi="仿宋_GB2312" w:eastAsia="仿宋_GB2312" w:cs="仿宋_GB2312"/>
          <w:sz w:val="32"/>
          <w:szCs w:val="32"/>
        </w:rPr>
        <w:t>室配合，同时还明确了分管领导和兼职工作人员。</w:t>
      </w:r>
    </w:p>
    <w:p>
      <w:pPr>
        <w:spacing w:line="360" w:lineRule="auto"/>
        <w:ind w:firstLine="642"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（二）进一步加大主动公开的力度。</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加强业务</w:t>
      </w:r>
      <w:r>
        <w:rPr>
          <w:rFonts w:hint="eastAsia" w:ascii="仿宋_GB2312" w:hAnsi="仿宋_GB2312" w:eastAsia="仿宋_GB2312" w:cs="仿宋_GB2312"/>
          <w:sz w:val="32"/>
          <w:szCs w:val="32"/>
          <w:lang w:eastAsia="zh-CN"/>
        </w:rPr>
        <w:t>股</w:t>
      </w:r>
      <w:r>
        <w:rPr>
          <w:rFonts w:hint="eastAsia" w:ascii="仿宋_GB2312" w:hAnsi="仿宋_GB2312" w:eastAsia="仿宋_GB2312" w:cs="仿宋_GB2312"/>
          <w:sz w:val="32"/>
          <w:szCs w:val="32"/>
        </w:rPr>
        <w:t>室信息公开工作。要求各</w:t>
      </w:r>
      <w:r>
        <w:rPr>
          <w:rFonts w:hint="eastAsia" w:ascii="仿宋_GB2312" w:hAnsi="仿宋_GB2312" w:eastAsia="仿宋_GB2312" w:cs="仿宋_GB2312"/>
          <w:sz w:val="32"/>
          <w:szCs w:val="32"/>
          <w:lang w:eastAsia="zh-CN"/>
        </w:rPr>
        <w:t>股</w:t>
      </w:r>
      <w:r>
        <w:rPr>
          <w:rFonts w:hint="eastAsia" w:ascii="仿宋_GB2312" w:hAnsi="仿宋_GB2312" w:eastAsia="仿宋_GB2312" w:cs="仿宋_GB2312"/>
          <w:sz w:val="32"/>
          <w:szCs w:val="32"/>
        </w:rPr>
        <w:t>室围绕工作重点，及时向办公室报送有关文件及工作动态；</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要求各</w:t>
      </w:r>
      <w:r>
        <w:rPr>
          <w:rFonts w:hint="eastAsia" w:ascii="仿宋_GB2312" w:hAnsi="仿宋_GB2312" w:eastAsia="仿宋_GB2312" w:cs="仿宋_GB2312"/>
          <w:sz w:val="32"/>
          <w:szCs w:val="32"/>
          <w:lang w:eastAsia="zh-CN"/>
        </w:rPr>
        <w:t>股</w:t>
      </w:r>
      <w:r>
        <w:rPr>
          <w:rFonts w:hint="eastAsia" w:ascii="仿宋_GB2312" w:hAnsi="仿宋_GB2312" w:eastAsia="仿宋_GB2312" w:cs="仿宋_GB2312"/>
          <w:sz w:val="32"/>
          <w:szCs w:val="32"/>
        </w:rPr>
        <w:t>室进一步加大政府信息主动公开力度，增强主动性、权威性和实效性。凡是《条例》规定应该公开、能够公开的事项，都要及时、全面、主动公开，并严格按照《条例》规定的主动公开内容和主动公开时限，自政府信息形成或者变更之日起20个工作日内予以公开，同时积极推进公众关注度高、与人民群众利益密切相关的政府信息公开。在受理依申请公开政府信息过程中，对需要或者可以让社会广泛知晓的政府信息，在答复申请人的同时，通过本局网站等渠道主动公开，以减少对同一政府信息的一再申请，节约行政成本，提高工作效率。</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充分发挥网站作为政府信息公开第一平台的作用，加强对政府信息公开专栏的建设和维护，确保网上公开的信息及时、全面、准确，确保网上政府信息公开专栏运行正常。</w:t>
      </w:r>
    </w:p>
    <w:p>
      <w:pPr>
        <w:spacing w:line="360" w:lineRule="auto"/>
        <w:ind w:firstLine="642"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（三）加强依申请公开的工作开展。</w:t>
      </w:r>
      <w:r>
        <w:rPr>
          <w:rFonts w:hint="eastAsia" w:ascii="仿宋_GB2312" w:hAnsi="仿宋_GB2312" w:eastAsia="仿宋_GB2312" w:cs="仿宋_GB2312"/>
          <w:sz w:val="32"/>
          <w:szCs w:val="32"/>
        </w:rPr>
        <w:t>为进一步做好依申请公开工作，</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多次组织全体人员学习《条例》及相关文件，要求各科室严格按照《条例》规定，准确把握《条例》第十三条内涵和政府信息的适用范畴，明确“一事一申请”原则，妥善处理研究课题类申请，加大政府信息主动公开工作力度，改进依申请公开政府信息服务。</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进一步规范申请公开的受理和答复工作，要求</w:t>
      </w:r>
      <w:r>
        <w:rPr>
          <w:rFonts w:hint="eastAsia" w:ascii="仿宋_GB2312" w:hAnsi="仿宋_GB2312" w:eastAsia="仿宋_GB2312" w:cs="仿宋_GB2312"/>
          <w:sz w:val="32"/>
          <w:szCs w:val="32"/>
          <w:lang w:eastAsia="zh-CN"/>
        </w:rPr>
        <w:t>股</w:t>
      </w:r>
      <w:r>
        <w:rPr>
          <w:rFonts w:hint="eastAsia" w:ascii="仿宋_GB2312" w:hAnsi="仿宋_GB2312" w:eastAsia="仿宋_GB2312" w:cs="仿宋_GB2312"/>
          <w:sz w:val="32"/>
          <w:szCs w:val="32"/>
        </w:rPr>
        <w:t>室做好有关记录并保存备查。对于申请事项不属于政府信息公开工作范畴或无法按申请提供政府信息的，做到主动与申请人沟通，尽量取得申请人的理解。在答复申请时，做到依法有据、严谨规范、慎重稳妥。特别是对于不能当场答复的，应当自收到申请之日起15个工作日内予以答复；如需延长答复期限的，应当报办公室并经局长同意，并告知申请人，延长答复期限最长不得超过15个工作日。</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加强保密审查。对遇到情况复杂或者可能涉及国家安全、公共安全、经济安全和社会稳定的申请，要加强同相关部门的协调会商，进行综合分析，研究提出处理意见。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二、主动公开政府信息情况</w:t>
      </w:r>
    </w:p>
    <w:tbl>
      <w:tblPr>
        <w:tblStyle w:val="4"/>
        <w:tblW w:w="8696"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85"/>
        <w:gridCol w:w="20"/>
        <w:gridCol w:w="2151"/>
        <w:gridCol w:w="1950"/>
        <w:gridCol w:w="21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8696" w:type="dxa"/>
            <w:gridSpan w:val="5"/>
            <w:tcBorders>
              <w:top w:val="single" w:color="000000" w:sz="2" w:space="0"/>
              <w:bottom w:val="single" w:color="000000" w:sz="2" w:space="0"/>
            </w:tcBorders>
            <w:shd w:val="clear" w:color="auto" w:fill="A1A7BC"/>
            <w:vAlign w:val="top"/>
          </w:tcPr>
          <w:p>
            <w:pPr>
              <w:keepNext w:val="0"/>
              <w:keepLines w:val="0"/>
              <w:pageBreakBefore w:val="0"/>
              <w:widowControl w:val="0"/>
              <w:kinsoku/>
              <w:wordWrap/>
              <w:overflowPunct/>
              <w:topLinePunct w:val="0"/>
              <w:autoSpaceDE/>
              <w:autoSpaceDN/>
              <w:bidi w:val="0"/>
              <w:adjustRightInd/>
              <w:snapToGrid/>
              <w:spacing w:before="75" w:line="600" w:lineRule="exact"/>
              <w:ind w:firstLine="4000"/>
              <w:textAlignment w:val="auto"/>
              <w:rPr>
                <w:rFonts w:ascii="宋体" w:hAnsi="宋体" w:eastAsia="宋体" w:cs="宋体"/>
                <w:sz w:val="20"/>
                <w:szCs w:val="20"/>
              </w:rPr>
            </w:pPr>
            <w:r>
              <w:rPr>
                <w:rFonts w:ascii="宋体" w:hAnsi="宋体" w:eastAsia="宋体" w:cs="宋体"/>
                <w:spacing w:val="5"/>
                <w:sz w:val="20"/>
                <w:szCs w:val="20"/>
              </w:rPr>
              <w:t>第二十条第(一)项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6" w:line="600" w:lineRule="exact"/>
              <w:ind w:firstLine="819"/>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2151"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5" w:line="600" w:lineRule="exact"/>
              <w:jc w:val="center"/>
              <w:textAlignment w:val="auto"/>
              <w:rPr>
                <w:rFonts w:ascii="宋体" w:hAnsi="宋体" w:eastAsia="宋体" w:cs="宋体"/>
                <w:sz w:val="20"/>
                <w:szCs w:val="20"/>
              </w:rPr>
            </w:pPr>
            <w:r>
              <w:rPr>
                <w:rFonts w:ascii="宋体" w:hAnsi="宋体" w:eastAsia="宋体" w:cs="宋体"/>
                <w:spacing w:val="-2"/>
                <w:sz w:val="20"/>
                <w:szCs w:val="20"/>
              </w:rPr>
              <w:t>本年制发件数</w:t>
            </w:r>
          </w:p>
        </w:tc>
        <w:tc>
          <w:tcPr>
            <w:tcW w:w="19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5" w:line="600" w:lineRule="exact"/>
              <w:jc w:val="center"/>
              <w:textAlignment w:val="auto"/>
              <w:rPr>
                <w:rFonts w:ascii="宋体" w:hAnsi="宋体" w:eastAsia="宋体" w:cs="宋体"/>
                <w:sz w:val="20"/>
                <w:szCs w:val="20"/>
              </w:rPr>
            </w:pPr>
            <w:r>
              <w:rPr>
                <w:rFonts w:ascii="宋体" w:hAnsi="宋体" w:eastAsia="宋体" w:cs="宋体"/>
                <w:spacing w:val="-2"/>
                <w:sz w:val="20"/>
                <w:szCs w:val="20"/>
              </w:rPr>
              <w:t>本年废止件数</w:t>
            </w:r>
          </w:p>
        </w:tc>
        <w:tc>
          <w:tcPr>
            <w:tcW w:w="219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6" w:line="600" w:lineRule="exact"/>
              <w:jc w:val="center"/>
              <w:textAlignment w:val="auto"/>
              <w:rPr>
                <w:rFonts w:ascii="宋体" w:hAnsi="宋体" w:eastAsia="宋体" w:cs="宋体"/>
                <w:sz w:val="20"/>
                <w:szCs w:val="20"/>
              </w:rPr>
            </w:pPr>
            <w:r>
              <w:rPr>
                <w:rFonts w:ascii="宋体" w:hAnsi="宋体" w:eastAsia="宋体" w:cs="宋体"/>
                <w:spacing w:val="-2"/>
                <w:sz w:val="20"/>
                <w:szCs w:val="20"/>
              </w:rPr>
              <w:t>现行有效件数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5" w:line="600" w:lineRule="exact"/>
              <w:ind w:firstLine="40"/>
              <w:textAlignment w:val="auto"/>
              <w:rPr>
                <w:rFonts w:ascii="宋体" w:hAnsi="宋体" w:eastAsia="宋体" w:cs="宋体"/>
                <w:sz w:val="20"/>
                <w:szCs w:val="20"/>
              </w:rPr>
            </w:pPr>
            <w:r>
              <w:rPr>
                <w:rFonts w:ascii="宋体" w:hAnsi="宋体" w:eastAsia="宋体" w:cs="宋体"/>
                <w:spacing w:val="7"/>
                <w:sz w:val="20"/>
                <w:szCs w:val="20"/>
              </w:rPr>
              <w:t>规章</w:t>
            </w:r>
          </w:p>
        </w:tc>
        <w:tc>
          <w:tcPr>
            <w:tcW w:w="2151"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sz w:val="21"/>
                <w:lang w:eastAsia="zh-CN"/>
              </w:rPr>
            </w:pPr>
            <w:r>
              <w:rPr>
                <w:rFonts w:hint="default" w:ascii="Arial"/>
                <w:sz w:val="21"/>
                <w:lang w:eastAsia="zh-CN"/>
              </w:rPr>
              <w:t>0</w:t>
            </w:r>
          </w:p>
        </w:tc>
        <w:tc>
          <w:tcPr>
            <w:tcW w:w="19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eastAsia="zh-CN"/>
              </w:rPr>
            </w:pPr>
            <w:r>
              <w:rPr>
                <w:rFonts w:hint="default" w:ascii="Arial"/>
                <w:sz w:val="21"/>
                <w:lang w:eastAsia="zh-CN"/>
              </w:rPr>
              <w:t>0</w:t>
            </w:r>
          </w:p>
        </w:tc>
        <w:tc>
          <w:tcPr>
            <w:tcW w:w="219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eastAsia="zh-CN"/>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7" w:line="600" w:lineRule="exact"/>
              <w:ind w:firstLine="40"/>
              <w:textAlignment w:val="auto"/>
              <w:rPr>
                <w:rFonts w:ascii="宋体" w:hAnsi="宋体" w:eastAsia="宋体" w:cs="宋体"/>
                <w:sz w:val="20"/>
                <w:szCs w:val="20"/>
              </w:rPr>
            </w:pPr>
            <w:r>
              <w:rPr>
                <w:rFonts w:ascii="宋体" w:hAnsi="宋体" w:eastAsia="宋体" w:cs="宋体"/>
                <w:spacing w:val="-2"/>
                <w:sz w:val="20"/>
                <w:szCs w:val="20"/>
              </w:rPr>
              <w:t>行政规范性文件</w:t>
            </w:r>
          </w:p>
        </w:tc>
        <w:tc>
          <w:tcPr>
            <w:tcW w:w="2151"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eastAsia="zh-CN"/>
              </w:rPr>
            </w:pPr>
            <w:r>
              <w:rPr>
                <w:rFonts w:hint="default" w:ascii="Arial"/>
                <w:sz w:val="21"/>
                <w:lang w:eastAsia="zh-CN"/>
              </w:rPr>
              <w:t>0</w:t>
            </w:r>
          </w:p>
        </w:tc>
        <w:tc>
          <w:tcPr>
            <w:tcW w:w="19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eastAsia="zh-CN"/>
              </w:rPr>
            </w:pPr>
            <w:r>
              <w:rPr>
                <w:rFonts w:hint="default" w:ascii="Arial"/>
                <w:sz w:val="21"/>
                <w:lang w:eastAsia="zh-CN"/>
              </w:rPr>
              <w:t>0</w:t>
            </w:r>
          </w:p>
        </w:tc>
        <w:tc>
          <w:tcPr>
            <w:tcW w:w="219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eastAsia="zh-CN"/>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9DA3B8"/>
            <w:vAlign w:val="top"/>
          </w:tcPr>
          <w:p>
            <w:pPr>
              <w:keepNext w:val="0"/>
              <w:keepLines w:val="0"/>
              <w:pageBreakBefore w:val="0"/>
              <w:widowControl w:val="0"/>
              <w:kinsoku/>
              <w:wordWrap/>
              <w:overflowPunct/>
              <w:topLinePunct w:val="0"/>
              <w:autoSpaceDE/>
              <w:autoSpaceDN/>
              <w:bidi w:val="0"/>
              <w:adjustRightInd/>
              <w:snapToGrid/>
              <w:spacing w:before="67" w:line="600" w:lineRule="exact"/>
              <w:ind w:firstLine="4000"/>
              <w:textAlignment w:val="auto"/>
              <w:rPr>
                <w:rFonts w:ascii="宋体" w:hAnsi="宋体" w:eastAsia="宋体" w:cs="宋体"/>
                <w:sz w:val="20"/>
                <w:szCs w:val="20"/>
              </w:rPr>
            </w:pPr>
            <w:r>
              <w:rPr>
                <w:rFonts w:ascii="宋体" w:hAnsi="宋体" w:eastAsia="宋体" w:cs="宋体"/>
                <w:spacing w:val="5"/>
                <w:sz w:val="20"/>
                <w:szCs w:val="20"/>
              </w:rPr>
              <w:t>第二十条第(五)项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87" w:line="600" w:lineRule="exact"/>
              <w:ind w:firstLine="810"/>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629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86" w:line="600" w:lineRule="exact"/>
              <w:jc w:val="center"/>
              <w:textAlignment w:val="auto"/>
              <w:rPr>
                <w:rFonts w:ascii="宋体" w:hAnsi="宋体" w:eastAsia="宋体" w:cs="宋体"/>
                <w:sz w:val="20"/>
                <w:szCs w:val="20"/>
              </w:rPr>
            </w:pPr>
            <w:r>
              <w:rPr>
                <w:rFonts w:ascii="宋体" w:hAnsi="宋体" w:eastAsia="宋体" w:cs="宋体"/>
                <w:spacing w:val="-1"/>
                <w:sz w:val="20"/>
                <w:szCs w:val="20"/>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8" w:line="600" w:lineRule="exact"/>
              <w:ind w:firstLine="40"/>
              <w:jc w:val="left"/>
              <w:textAlignment w:val="auto"/>
              <w:rPr>
                <w:rFonts w:ascii="宋体" w:hAnsi="宋体" w:eastAsia="宋体" w:cs="宋体"/>
                <w:sz w:val="20"/>
                <w:szCs w:val="20"/>
              </w:rPr>
            </w:pPr>
            <w:r>
              <w:rPr>
                <w:rFonts w:ascii="宋体" w:hAnsi="宋体" w:eastAsia="宋体" w:cs="宋体"/>
                <w:spacing w:val="-3"/>
                <w:sz w:val="20"/>
                <w:szCs w:val="20"/>
              </w:rPr>
              <w:t>行政许可</w:t>
            </w:r>
          </w:p>
        </w:tc>
        <w:tc>
          <w:tcPr>
            <w:tcW w:w="629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eastAsia="zh-CN"/>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A5ABC0"/>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000"/>
              <w:textAlignment w:val="auto"/>
              <w:rPr>
                <w:rFonts w:ascii="宋体" w:hAnsi="宋体" w:eastAsia="宋体" w:cs="宋体"/>
                <w:sz w:val="20"/>
                <w:szCs w:val="20"/>
              </w:rPr>
            </w:pPr>
            <w:r>
              <w:rPr>
                <w:rFonts w:ascii="宋体" w:hAnsi="宋体" w:eastAsia="宋体" w:cs="宋体"/>
                <w:spacing w:val="5"/>
                <w:sz w:val="20"/>
                <w:szCs w:val="20"/>
              </w:rPr>
              <w:t>第二十条第(六)项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8" w:line="600" w:lineRule="exact"/>
              <w:ind w:firstLine="799"/>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7" w:line="600" w:lineRule="exact"/>
              <w:jc w:val="center"/>
              <w:textAlignment w:val="auto"/>
              <w:rPr>
                <w:rFonts w:ascii="宋体" w:hAnsi="宋体" w:eastAsia="宋体" w:cs="宋体"/>
                <w:sz w:val="20"/>
                <w:szCs w:val="20"/>
              </w:rPr>
            </w:pPr>
            <w:r>
              <w:rPr>
                <w:rFonts w:ascii="宋体" w:hAnsi="宋体" w:eastAsia="宋体" w:cs="宋体"/>
                <w:spacing w:val="-1"/>
                <w:sz w:val="20"/>
                <w:szCs w:val="20"/>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8" w:line="600" w:lineRule="exact"/>
              <w:ind w:firstLine="50"/>
              <w:textAlignment w:val="auto"/>
              <w:rPr>
                <w:rFonts w:ascii="宋体" w:hAnsi="宋体" w:eastAsia="宋体" w:cs="宋体"/>
                <w:sz w:val="20"/>
                <w:szCs w:val="20"/>
              </w:rPr>
            </w:pPr>
            <w:r>
              <w:rPr>
                <w:rFonts w:ascii="宋体" w:hAnsi="宋体" w:eastAsia="宋体" w:cs="宋体"/>
                <w:spacing w:val="6"/>
                <w:sz w:val="20"/>
                <w:szCs w:val="20"/>
              </w:rPr>
              <w:t>行政处罚</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eastAsia="zh-CN"/>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9" w:line="600" w:lineRule="exact"/>
              <w:ind w:firstLine="50"/>
              <w:textAlignment w:val="auto"/>
              <w:rPr>
                <w:rFonts w:ascii="宋体" w:hAnsi="宋体" w:eastAsia="宋体" w:cs="宋体"/>
                <w:sz w:val="20"/>
                <w:szCs w:val="20"/>
              </w:rPr>
            </w:pPr>
            <w:r>
              <w:rPr>
                <w:rFonts w:ascii="宋体" w:hAnsi="宋体" w:eastAsia="宋体" w:cs="宋体"/>
                <w:spacing w:val="-3"/>
                <w:sz w:val="20"/>
                <w:szCs w:val="20"/>
              </w:rPr>
              <w:t>行政强制</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eastAsia="zh-CN"/>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9DA3B8"/>
            <w:vAlign w:val="top"/>
          </w:tcPr>
          <w:p>
            <w:pPr>
              <w:keepNext w:val="0"/>
              <w:keepLines w:val="0"/>
              <w:pageBreakBefore w:val="0"/>
              <w:widowControl w:val="0"/>
              <w:kinsoku/>
              <w:wordWrap/>
              <w:overflowPunct/>
              <w:topLinePunct w:val="0"/>
              <w:autoSpaceDE/>
              <w:autoSpaceDN/>
              <w:bidi w:val="0"/>
              <w:adjustRightInd/>
              <w:snapToGrid/>
              <w:spacing w:before="69" w:line="600" w:lineRule="exact"/>
              <w:ind w:firstLine="4000"/>
              <w:textAlignment w:val="auto"/>
              <w:rPr>
                <w:rFonts w:ascii="宋体" w:hAnsi="宋体" w:eastAsia="宋体" w:cs="宋体"/>
                <w:sz w:val="20"/>
                <w:szCs w:val="20"/>
              </w:rPr>
            </w:pPr>
            <w:r>
              <w:rPr>
                <w:rFonts w:ascii="宋体" w:hAnsi="宋体" w:eastAsia="宋体" w:cs="宋体"/>
                <w:spacing w:val="5"/>
                <w:sz w:val="20"/>
                <w:szCs w:val="20"/>
              </w:rPr>
              <w:t>第二十条第(八)项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89" w:line="600" w:lineRule="exact"/>
              <w:ind w:firstLine="810"/>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88" w:line="600" w:lineRule="exact"/>
              <w:jc w:val="center"/>
              <w:textAlignment w:val="auto"/>
              <w:rPr>
                <w:rFonts w:ascii="宋体" w:hAnsi="宋体" w:eastAsia="宋体" w:cs="宋体"/>
                <w:sz w:val="20"/>
                <w:szCs w:val="20"/>
              </w:rPr>
            </w:pPr>
            <w:r>
              <w:rPr>
                <w:rFonts w:ascii="宋体" w:hAnsi="宋体" w:eastAsia="宋体" w:cs="宋体"/>
                <w:spacing w:val="-2"/>
                <w:sz w:val="20"/>
                <w:szCs w:val="20"/>
              </w:rPr>
              <w:t>本年收费金额(单位:万元)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219" w:line="600" w:lineRule="exact"/>
              <w:textAlignment w:val="auto"/>
              <w:rPr>
                <w:rFonts w:ascii="宋体" w:hAnsi="宋体" w:eastAsia="宋体" w:cs="宋体"/>
                <w:sz w:val="20"/>
                <w:szCs w:val="20"/>
              </w:rPr>
            </w:pPr>
            <w:r>
              <w:rPr>
                <w:rFonts w:ascii="宋体" w:hAnsi="宋体" w:eastAsia="宋体" w:cs="宋体"/>
                <w:spacing w:val="1"/>
                <w:sz w:val="20"/>
                <w:szCs w:val="20"/>
              </w:rPr>
              <w:t>行政事业性收费</w:t>
            </w:r>
          </w:p>
        </w:tc>
        <w:tc>
          <w:tcPr>
            <w:tcW w:w="6311" w:type="dxa"/>
            <w:gridSpan w:val="4"/>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tbl>
      <w:tblPr>
        <w:tblStyle w:val="4"/>
        <w:tblpPr w:leftFromText="180" w:rightFromText="180" w:vertAnchor="text" w:horzAnchor="page" w:tblpX="1887" w:tblpY="220"/>
        <w:tblOverlap w:val="never"/>
        <w:tblW w:w="866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1"/>
        <w:gridCol w:w="735"/>
        <w:gridCol w:w="2655"/>
        <w:gridCol w:w="750"/>
        <w:gridCol w:w="660"/>
        <w:gridCol w:w="660"/>
        <w:gridCol w:w="645"/>
        <w:gridCol w:w="720"/>
        <w:gridCol w:w="585"/>
        <w:gridCol w:w="6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4031" w:type="dxa"/>
            <w:gridSpan w:val="3"/>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(本列数据的勾稽关系为:第一项加第二项之和,等于第三项加第四项之和)</w:t>
            </w:r>
          </w:p>
          <w:p>
            <w:pPr>
              <w:keepNext w:val="0"/>
              <w:keepLines w:val="0"/>
              <w:pageBreakBefore w:val="0"/>
              <w:widowControl w:val="0"/>
              <w:kinsoku/>
              <w:wordWrap/>
              <w:overflowPunct/>
              <w:topLinePunct w:val="0"/>
              <w:autoSpaceDE/>
              <w:autoSpaceDN/>
              <w:bidi w:val="0"/>
              <w:adjustRightInd/>
              <w:snapToGrid/>
              <w:spacing w:line="600" w:lineRule="exact"/>
              <w:ind w:firstLine="139"/>
              <w:jc w:val="both"/>
              <w:textAlignment w:val="auto"/>
              <w:rPr>
                <w:rFonts w:ascii="宋体" w:hAnsi="宋体" w:eastAsia="宋体" w:cs="宋体"/>
                <w:sz w:val="13"/>
                <w:szCs w:val="13"/>
              </w:rPr>
            </w:pPr>
          </w:p>
        </w:tc>
        <w:tc>
          <w:tcPr>
            <w:tcW w:w="4635" w:type="dxa"/>
            <w:gridSpan w:val="7"/>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5" w:line="600" w:lineRule="exact"/>
              <w:ind w:firstLine="1871"/>
              <w:textAlignment w:val="auto"/>
              <w:rPr>
                <w:rFonts w:ascii="宋体" w:hAnsi="宋体" w:eastAsia="宋体" w:cs="宋体"/>
                <w:sz w:val="20"/>
                <w:szCs w:val="20"/>
              </w:rPr>
            </w:pPr>
            <w:r>
              <w:rPr>
                <w:rFonts w:ascii="宋体" w:hAnsi="宋体" w:eastAsia="宋体" w:cs="宋体"/>
                <w:spacing w:val="1"/>
                <w:sz w:val="20"/>
                <w:szCs w:val="20"/>
              </w:rPr>
              <w:t>申请人情况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4031" w:type="dxa"/>
            <w:gridSpan w:val="3"/>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50"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65" w:line="600" w:lineRule="exact"/>
              <w:ind w:right="116"/>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自然人</w:t>
            </w:r>
          </w:p>
        </w:tc>
        <w:tc>
          <w:tcPr>
            <w:tcW w:w="3270"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5" w:line="600" w:lineRule="exact"/>
              <w:ind w:firstLine="992"/>
              <w:jc w:val="both"/>
              <w:textAlignment w:val="auto"/>
              <w:rPr>
                <w:rFonts w:ascii="宋体" w:hAnsi="宋体" w:eastAsia="宋体" w:cs="宋体"/>
                <w:sz w:val="20"/>
                <w:szCs w:val="20"/>
              </w:rPr>
            </w:pPr>
            <w:r>
              <w:rPr>
                <w:rFonts w:ascii="宋体" w:hAnsi="宋体" w:eastAsia="宋体" w:cs="宋体"/>
                <w:spacing w:val="-8"/>
                <w:sz w:val="20"/>
                <w:szCs w:val="20"/>
              </w:rPr>
              <w:t>法人或其他组织</w:t>
            </w:r>
          </w:p>
        </w:tc>
        <w:tc>
          <w:tcPr>
            <w:tcW w:w="61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before="65" w:line="600" w:lineRule="exact"/>
              <w:ind w:firstLine="139"/>
              <w:textAlignment w:val="auto"/>
              <w:rPr>
                <w:rFonts w:ascii="宋体" w:hAnsi="宋体" w:eastAsia="宋体" w:cs="宋体"/>
                <w:sz w:val="20"/>
                <w:szCs w:val="20"/>
              </w:rPr>
            </w:pPr>
            <w:r>
              <w:rPr>
                <w:rFonts w:ascii="宋体" w:hAnsi="宋体" w:eastAsia="宋体" w:cs="宋体"/>
                <w:spacing w:val="4"/>
                <w:sz w:val="20"/>
                <w:szCs w:val="20"/>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4" w:hRule="atLeast"/>
        </w:trPr>
        <w:tc>
          <w:tcPr>
            <w:tcW w:w="4031" w:type="dxa"/>
            <w:gridSpan w:val="3"/>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50"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sz w:val="21"/>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133"/>
              <w:jc w:val="center"/>
              <w:textAlignment w:val="auto"/>
              <w:rPr>
                <w:rFonts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商业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企业</w:t>
            </w:r>
          </w:p>
          <w:p>
            <w:pPr>
              <w:keepNext w:val="0"/>
              <w:keepLines w:val="0"/>
              <w:pageBreakBefore w:val="0"/>
              <w:widowControl w:val="0"/>
              <w:kinsoku/>
              <w:wordWrap/>
              <w:overflowPunct/>
              <w:topLinePunct w:val="0"/>
              <w:autoSpaceDE/>
              <w:autoSpaceDN/>
              <w:bidi w:val="0"/>
              <w:adjustRightInd/>
              <w:snapToGrid/>
              <w:spacing w:line="600" w:lineRule="exact"/>
              <w:ind w:firstLine="133"/>
              <w:jc w:val="center"/>
              <w:textAlignment w:val="auto"/>
              <w:rPr>
                <w:rFonts w:hint="default" w:ascii="宋体" w:hAnsi="宋体" w:eastAsia="宋体" w:cs="宋体"/>
                <w:sz w:val="20"/>
                <w:szCs w:val="20"/>
                <w:lang w:val="en-US" w:eastAsia="zh-CN"/>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pacing w:val="-4"/>
                <w:sz w:val="20"/>
                <w:szCs w:val="20"/>
                <w:lang w:val="en-US" w:eastAsia="zh-CN"/>
              </w:rPr>
            </w:pPr>
            <w:r>
              <w:rPr>
                <w:rFonts w:hint="eastAsia" w:ascii="宋体" w:hAnsi="宋体" w:eastAsia="宋体" w:cs="宋体"/>
                <w:sz w:val="20"/>
                <w:szCs w:val="20"/>
                <w:lang w:val="en-US" w:eastAsia="zh-CN"/>
              </w:rPr>
              <w:t>科研 机构</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社会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公益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组织</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6" w:line="600" w:lineRule="exact"/>
              <w:ind w:left="136" w:right="119"/>
              <w:jc w:val="center"/>
              <w:textAlignment w:val="auto"/>
              <w:rPr>
                <w:rFonts w:ascii="宋体" w:hAnsi="宋体" w:eastAsia="宋体" w:cs="宋体"/>
                <w:sz w:val="20"/>
                <w:szCs w:val="20"/>
              </w:rPr>
            </w:pPr>
            <w:r>
              <w:rPr>
                <w:rFonts w:ascii="宋体" w:hAnsi="宋体" w:eastAsia="宋体" w:cs="宋体"/>
                <w:spacing w:val="-5"/>
                <w:sz w:val="20"/>
                <w:szCs w:val="20"/>
              </w:rPr>
              <w:t>法律</w:t>
            </w:r>
            <w:r>
              <w:rPr>
                <w:rFonts w:ascii="宋体" w:hAnsi="宋体" w:eastAsia="宋体" w:cs="宋体"/>
                <w:spacing w:val="1"/>
                <w:sz w:val="20"/>
                <w:szCs w:val="20"/>
              </w:rPr>
              <w:t xml:space="preserve"> </w:t>
            </w:r>
            <w:r>
              <w:rPr>
                <w:rFonts w:ascii="宋体" w:hAnsi="宋体" w:eastAsia="宋体" w:cs="宋体"/>
                <w:spacing w:val="-4"/>
                <w:sz w:val="20"/>
                <w:szCs w:val="20"/>
              </w:rPr>
              <w:t>服务</w:t>
            </w:r>
          </w:p>
          <w:p>
            <w:pPr>
              <w:keepNext w:val="0"/>
              <w:keepLines w:val="0"/>
              <w:pageBreakBefore w:val="0"/>
              <w:widowControl w:val="0"/>
              <w:kinsoku/>
              <w:wordWrap/>
              <w:overflowPunct/>
              <w:topLinePunct w:val="0"/>
              <w:autoSpaceDE/>
              <w:autoSpaceDN/>
              <w:bidi w:val="0"/>
              <w:adjustRightInd/>
              <w:snapToGrid/>
              <w:spacing w:before="56" w:line="600" w:lineRule="exact"/>
              <w:ind w:left="136" w:right="119"/>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机构</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65" w:line="600" w:lineRule="exact"/>
              <w:jc w:val="center"/>
              <w:textAlignment w:val="auto"/>
              <w:rPr>
                <w:rFonts w:ascii="宋体" w:hAnsi="宋体" w:eastAsia="宋体" w:cs="宋体"/>
                <w:sz w:val="20"/>
                <w:szCs w:val="20"/>
              </w:rPr>
            </w:pPr>
            <w:r>
              <w:rPr>
                <w:rFonts w:ascii="宋体" w:hAnsi="宋体" w:eastAsia="宋体" w:cs="宋体"/>
                <w:spacing w:val="-5"/>
                <w:sz w:val="20"/>
                <w:szCs w:val="20"/>
              </w:rPr>
              <w:t>其他</w:t>
            </w:r>
          </w:p>
        </w:tc>
        <w:tc>
          <w:tcPr>
            <w:tcW w:w="61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403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55" w:line="600" w:lineRule="exact"/>
              <w:ind w:firstLine="139"/>
              <w:textAlignment w:val="auto"/>
              <w:rPr>
                <w:rFonts w:ascii="宋体" w:hAnsi="宋体" w:eastAsia="宋体" w:cs="宋体"/>
                <w:sz w:val="20"/>
                <w:szCs w:val="20"/>
              </w:rPr>
            </w:pPr>
            <w:r>
              <w:rPr>
                <w:rFonts w:ascii="宋体" w:hAnsi="宋体" w:eastAsia="宋体" w:cs="宋体"/>
                <w:spacing w:val="-1"/>
                <w:sz w:val="20"/>
                <w:szCs w:val="20"/>
              </w:rPr>
              <w:t>一、本年新收政府信息公开申请数量</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eastAsia="zh-CN"/>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eastAsia="zh-CN"/>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eastAsia="zh-CN"/>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eastAsia="zh-CN"/>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eastAsia="zh-CN"/>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eastAsia="zh-CN"/>
              </w:rPr>
            </w:pPr>
            <w:r>
              <w:rPr>
                <w:rFonts w:hint="default" w:ascii="Arial"/>
                <w:sz w:val="21"/>
                <w:lang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eastAsia="zh-CN"/>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403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55" w:line="600" w:lineRule="exact"/>
              <w:ind w:firstLine="139"/>
              <w:textAlignment w:val="auto"/>
              <w:rPr>
                <w:rFonts w:ascii="宋体" w:hAnsi="宋体" w:eastAsia="宋体" w:cs="宋体"/>
                <w:sz w:val="20"/>
                <w:szCs w:val="20"/>
              </w:rPr>
            </w:pPr>
            <w:r>
              <w:rPr>
                <w:rFonts w:hint="eastAsia" w:ascii="宋体" w:hAnsi="宋体" w:eastAsia="宋体" w:cs="宋体"/>
                <w:sz w:val="20"/>
                <w:szCs w:val="20"/>
                <w:lang w:val="en-US" w:eastAsia="zh-CN"/>
              </w:rPr>
              <w:t>二</w:t>
            </w:r>
            <w:r>
              <w:rPr>
                <w:rFonts w:ascii="宋体" w:hAnsi="宋体" w:eastAsia="宋体" w:cs="宋体"/>
                <w:sz w:val="20"/>
                <w:szCs w:val="20"/>
              </w:rPr>
              <w:t>、上年结转政府信息公开申请数量</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20"/>
                <w:szCs w:val="20"/>
                <w:lang w:val="en-US" w:eastAsia="zh-CN"/>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641" w:type="dxa"/>
            <w:vMerge w:val="restart"/>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5" w:line="600" w:lineRule="exact"/>
              <w:textAlignment w:val="auto"/>
              <w:rPr>
                <w:rFonts w:ascii="宋体" w:hAnsi="宋体" w:eastAsia="宋体" w:cs="宋体"/>
                <w:spacing w:val="-10"/>
                <w:sz w:val="20"/>
                <w:szCs w:val="20"/>
              </w:rPr>
            </w:pPr>
            <w:r>
              <w:rPr>
                <w:rFonts w:hint="eastAsia" w:ascii="仿宋" w:hAnsi="仿宋" w:eastAsia="仿宋" w:cs="仿宋"/>
                <w:sz w:val="24"/>
                <w:szCs w:val="24"/>
                <w:lang w:val="en-US" w:eastAsia="zh-CN"/>
              </w:rPr>
              <w:t>三、本 年度办理结果</w:t>
            </w:r>
          </w:p>
        </w:tc>
        <w:tc>
          <w:tcPr>
            <w:tcW w:w="3390"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55" w:line="600" w:lineRule="exact"/>
              <w:ind w:firstLine="122"/>
              <w:textAlignment w:val="auto"/>
              <w:rPr>
                <w:rFonts w:ascii="宋体" w:hAnsi="宋体" w:eastAsia="宋体" w:cs="宋体"/>
                <w:spacing w:val="-10"/>
                <w:sz w:val="20"/>
                <w:szCs w:val="20"/>
              </w:rPr>
            </w:pPr>
            <w:r>
              <w:rPr>
                <w:rFonts w:ascii="宋体" w:hAnsi="宋体" w:eastAsia="宋体" w:cs="宋体"/>
                <w:spacing w:val="-10"/>
                <w:sz w:val="20"/>
                <w:szCs w:val="20"/>
              </w:rPr>
              <w:t>(一)予以公开</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before="55" w:line="600" w:lineRule="exact"/>
              <w:ind w:firstLine="122"/>
              <w:textAlignment w:val="auto"/>
              <w:rPr>
                <w:rFonts w:ascii="宋体" w:hAnsi="宋体" w:eastAsia="宋体" w:cs="宋体"/>
                <w:spacing w:val="-10"/>
                <w:sz w:val="20"/>
                <w:szCs w:val="20"/>
              </w:rPr>
            </w:pPr>
          </w:p>
        </w:tc>
        <w:tc>
          <w:tcPr>
            <w:tcW w:w="3390"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55" w:line="600" w:lineRule="exact"/>
              <w:ind w:firstLine="122"/>
              <w:textAlignment w:val="auto"/>
              <w:rPr>
                <w:rFonts w:ascii="宋体" w:hAnsi="宋体" w:eastAsia="宋体" w:cs="宋体"/>
                <w:spacing w:val="-10"/>
                <w:sz w:val="20"/>
                <w:szCs w:val="20"/>
              </w:rPr>
            </w:pPr>
            <w:r>
              <w:rPr>
                <w:rFonts w:ascii="宋体" w:hAnsi="宋体" w:eastAsia="宋体" w:cs="宋体"/>
                <w:spacing w:val="-10"/>
                <w:sz w:val="20"/>
                <w:szCs w:val="20"/>
              </w:rPr>
              <w:t>(二)部分公开(区分处理的,只计这一情形</w:t>
            </w:r>
            <w:r>
              <w:rPr>
                <w:rFonts w:hint="eastAsia" w:ascii="宋体" w:hAnsi="宋体" w:eastAsia="宋体" w:cs="宋体"/>
                <w:spacing w:val="-10"/>
                <w:sz w:val="20"/>
                <w:szCs w:val="20"/>
                <w:lang w:eastAsia="zh-CN"/>
              </w:rPr>
              <w:t>，</w:t>
            </w:r>
            <w:r>
              <w:rPr>
                <w:rFonts w:ascii="宋体" w:hAnsi="宋体" w:eastAsia="宋体" w:cs="宋体"/>
                <w:spacing w:val="-10"/>
                <w:sz w:val="20"/>
                <w:szCs w:val="20"/>
              </w:rPr>
              <w:t>不计其他情形)</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restart"/>
            <w:tcBorders>
              <w:top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198" w:line="600" w:lineRule="exact"/>
              <w:ind w:firstLine="61"/>
              <w:textAlignment w:val="auto"/>
              <w:rPr>
                <w:rFonts w:ascii="宋体" w:hAnsi="宋体" w:eastAsia="宋体" w:cs="宋体"/>
                <w:sz w:val="20"/>
                <w:szCs w:val="20"/>
              </w:rPr>
            </w:pPr>
            <w:r>
              <w:rPr>
                <w:rFonts w:ascii="宋体" w:hAnsi="宋体" w:eastAsia="宋体" w:cs="宋体"/>
                <w:spacing w:val="4"/>
                <w:position w:val="10"/>
                <w:sz w:val="20"/>
                <w:szCs w:val="20"/>
              </w:rPr>
              <w:t>(三)不</w:t>
            </w:r>
          </w:p>
          <w:p>
            <w:pPr>
              <w:keepNext w:val="0"/>
              <w:keepLines w:val="0"/>
              <w:pageBreakBefore w:val="0"/>
              <w:widowControl w:val="0"/>
              <w:kinsoku/>
              <w:wordWrap/>
              <w:overflowPunct/>
              <w:topLinePunct w:val="0"/>
              <w:autoSpaceDE/>
              <w:autoSpaceDN/>
              <w:bidi w:val="0"/>
              <w:adjustRightInd/>
              <w:snapToGrid/>
              <w:spacing w:line="600" w:lineRule="exact"/>
              <w:ind w:firstLine="61"/>
              <w:textAlignment w:val="auto"/>
              <w:rPr>
                <w:rFonts w:ascii="宋体" w:hAnsi="宋体" w:eastAsia="宋体" w:cs="宋体"/>
                <w:sz w:val="20"/>
                <w:szCs w:val="20"/>
              </w:rPr>
            </w:pPr>
            <w:r>
              <w:rPr>
                <w:rFonts w:ascii="宋体" w:hAnsi="宋体" w:eastAsia="宋体" w:cs="宋体"/>
                <w:spacing w:val="-4"/>
                <w:sz w:val="20"/>
                <w:szCs w:val="20"/>
              </w:rPr>
              <w:t>予公开</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z w:val="20"/>
                <w:szCs w:val="20"/>
              </w:rPr>
            </w:pPr>
            <w:r>
              <w:rPr>
                <w:rFonts w:ascii="宋体" w:hAnsi="宋体" w:eastAsia="宋体" w:cs="宋体"/>
                <w:spacing w:val="1"/>
                <w:sz w:val="20"/>
                <w:szCs w:val="20"/>
              </w:rPr>
              <w:t>1.属于国家秘密</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9"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59" w:line="600" w:lineRule="exact"/>
              <w:ind w:firstLine="44"/>
              <w:textAlignment w:val="auto"/>
              <w:rPr>
                <w:rFonts w:ascii="宋体" w:hAnsi="宋体" w:eastAsia="宋体" w:cs="宋体"/>
                <w:sz w:val="20"/>
                <w:szCs w:val="20"/>
              </w:rPr>
            </w:pPr>
            <w:r>
              <w:rPr>
                <w:rFonts w:ascii="宋体" w:hAnsi="宋体" w:eastAsia="宋体" w:cs="宋体"/>
                <w:sz w:val="20"/>
                <w:szCs w:val="20"/>
              </w:rPr>
              <w:t>2.其他法律行政法规禁止公开</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50" w:line="600" w:lineRule="exact"/>
              <w:ind w:firstLine="44"/>
              <w:textAlignment w:val="auto"/>
              <w:rPr>
                <w:rFonts w:ascii="宋体" w:hAnsi="宋体" w:eastAsia="宋体" w:cs="宋体"/>
                <w:sz w:val="20"/>
                <w:szCs w:val="20"/>
              </w:rPr>
            </w:pPr>
            <w:r>
              <w:rPr>
                <w:rFonts w:ascii="宋体" w:hAnsi="宋体" w:eastAsia="宋体" w:cs="宋体"/>
                <w:spacing w:val="2"/>
                <w:sz w:val="20"/>
                <w:szCs w:val="20"/>
              </w:rPr>
              <w:t>3.危及"三安全一稳定"</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Arial" w:eastAsiaTheme="minorEastAsia"/>
                <w:sz w:val="21"/>
                <w:lang w:val="en-US" w:eastAsia="zh-CN"/>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5" w:line="600" w:lineRule="exact"/>
              <w:ind w:firstLine="44"/>
              <w:textAlignment w:val="auto"/>
              <w:rPr>
                <w:rFonts w:ascii="宋体" w:hAnsi="宋体" w:eastAsia="宋体" w:cs="宋体"/>
                <w:sz w:val="20"/>
                <w:szCs w:val="20"/>
              </w:rPr>
            </w:pPr>
            <w:r>
              <w:rPr>
                <w:rFonts w:ascii="宋体" w:hAnsi="宋体" w:eastAsia="宋体" w:cs="宋体"/>
                <w:spacing w:val="2"/>
                <w:sz w:val="20"/>
                <w:szCs w:val="20"/>
              </w:rPr>
              <w:t>4.保护第三方合法权益</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5" w:line="600" w:lineRule="exact"/>
              <w:ind w:firstLine="44"/>
              <w:textAlignment w:val="auto"/>
              <w:rPr>
                <w:rFonts w:ascii="宋体" w:hAnsi="宋体" w:eastAsia="宋体" w:cs="宋体"/>
                <w:sz w:val="20"/>
                <w:szCs w:val="20"/>
              </w:rPr>
            </w:pPr>
            <w:r>
              <w:rPr>
                <w:rFonts w:ascii="宋体" w:hAnsi="宋体" w:eastAsia="宋体" w:cs="宋体"/>
                <w:spacing w:val="2"/>
                <w:sz w:val="20"/>
                <w:szCs w:val="20"/>
              </w:rPr>
              <w:t>5.属于三类内部事务信息</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55" w:line="600" w:lineRule="exact"/>
              <w:ind w:firstLine="44"/>
              <w:textAlignment w:val="auto"/>
              <w:rPr>
                <w:rFonts w:ascii="宋体" w:hAnsi="宋体" w:eastAsia="宋体" w:cs="宋体"/>
                <w:sz w:val="20"/>
                <w:szCs w:val="20"/>
              </w:rPr>
            </w:pPr>
            <w:r>
              <w:rPr>
                <w:rFonts w:ascii="宋体" w:hAnsi="宋体" w:eastAsia="宋体" w:cs="宋体"/>
                <w:spacing w:val="3"/>
                <w:sz w:val="20"/>
                <w:szCs w:val="20"/>
              </w:rPr>
              <w:t>6.属于四类过程性信息</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5" w:line="600" w:lineRule="exact"/>
              <w:ind w:firstLine="44"/>
              <w:textAlignment w:val="auto"/>
              <w:rPr>
                <w:rFonts w:ascii="宋体" w:hAnsi="宋体" w:eastAsia="宋体" w:cs="宋体"/>
                <w:sz w:val="20"/>
                <w:szCs w:val="20"/>
              </w:rPr>
            </w:pPr>
            <w:r>
              <w:rPr>
                <w:rFonts w:ascii="宋体" w:hAnsi="宋体" w:eastAsia="宋体" w:cs="宋体"/>
                <w:spacing w:val="1"/>
                <w:sz w:val="20"/>
                <w:szCs w:val="20"/>
              </w:rPr>
              <w:t>7.属于行政执法案卷</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5" w:line="600" w:lineRule="exact"/>
              <w:ind w:firstLine="44"/>
              <w:textAlignment w:val="auto"/>
              <w:rPr>
                <w:rFonts w:ascii="宋体" w:hAnsi="宋体" w:eastAsia="宋体" w:cs="宋体"/>
                <w:sz w:val="20"/>
                <w:szCs w:val="20"/>
              </w:rPr>
            </w:pPr>
            <w:r>
              <w:rPr>
                <w:rFonts w:ascii="宋体" w:hAnsi="宋体" w:eastAsia="宋体" w:cs="宋体"/>
                <w:spacing w:val="2"/>
                <w:sz w:val="20"/>
                <w:szCs w:val="20"/>
              </w:rPr>
              <w:t>8.属于行政查询事项</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3"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before="245" w:line="600" w:lineRule="exact"/>
              <w:ind w:firstLine="52"/>
              <w:textAlignment w:val="auto"/>
              <w:rPr>
                <w:rFonts w:ascii="宋体" w:hAnsi="宋体" w:eastAsia="宋体" w:cs="宋体"/>
                <w:sz w:val="19"/>
                <w:szCs w:val="19"/>
              </w:rPr>
            </w:pPr>
            <w:r>
              <w:rPr>
                <w:rFonts w:ascii="宋体" w:hAnsi="宋体" w:eastAsia="宋体" w:cs="宋体"/>
                <w:spacing w:val="-9"/>
                <w:w w:val="99"/>
                <w:position w:val="7"/>
                <w:sz w:val="19"/>
                <w:szCs w:val="19"/>
              </w:rPr>
              <w:t>(</w:t>
            </w:r>
            <w:r>
              <w:rPr>
                <w:rFonts w:ascii="宋体" w:hAnsi="宋体" w:eastAsia="宋体" w:cs="宋体"/>
                <w:spacing w:val="-46"/>
                <w:position w:val="7"/>
                <w:sz w:val="19"/>
                <w:szCs w:val="19"/>
              </w:rPr>
              <w:t xml:space="preserve"> </w:t>
            </w:r>
            <w:r>
              <w:rPr>
                <w:rFonts w:ascii="宋体" w:hAnsi="宋体" w:eastAsia="宋体" w:cs="宋体"/>
                <w:spacing w:val="-9"/>
                <w:w w:val="99"/>
                <w:position w:val="7"/>
                <w:sz w:val="19"/>
                <w:szCs w:val="19"/>
              </w:rPr>
              <w:t>四)无</w:t>
            </w:r>
          </w:p>
          <w:p>
            <w:pPr>
              <w:keepNext w:val="0"/>
              <w:keepLines w:val="0"/>
              <w:pageBreakBefore w:val="0"/>
              <w:widowControl w:val="0"/>
              <w:kinsoku/>
              <w:wordWrap/>
              <w:overflowPunct/>
              <w:topLinePunct w:val="0"/>
              <w:autoSpaceDE/>
              <w:autoSpaceDN/>
              <w:bidi w:val="0"/>
              <w:adjustRightInd/>
              <w:snapToGrid/>
              <w:spacing w:line="600" w:lineRule="exact"/>
              <w:ind w:firstLine="52"/>
              <w:textAlignment w:val="auto"/>
              <w:rPr>
                <w:rFonts w:ascii="宋体" w:hAnsi="宋体" w:eastAsia="宋体" w:cs="宋体"/>
                <w:sz w:val="19"/>
                <w:szCs w:val="19"/>
              </w:rPr>
            </w:pPr>
            <w:r>
              <w:rPr>
                <w:rFonts w:ascii="宋体" w:hAnsi="宋体" w:eastAsia="宋体" w:cs="宋体"/>
                <w:spacing w:val="-2"/>
                <w:sz w:val="19"/>
                <w:szCs w:val="19"/>
              </w:rPr>
              <w:t>法提供</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1.本机关不掌握相关政府信息</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2.没有现成信息需要另行制作</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3.补正后申请内容仍不明确</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before="61" w:line="600" w:lineRule="exact"/>
              <w:ind w:firstLine="52"/>
              <w:textAlignment w:val="auto"/>
              <w:rPr>
                <w:rFonts w:ascii="宋体" w:hAnsi="宋体" w:eastAsia="宋体" w:cs="宋体"/>
                <w:sz w:val="19"/>
                <w:szCs w:val="19"/>
              </w:rPr>
            </w:pPr>
            <w:r>
              <w:rPr>
                <w:rFonts w:ascii="宋体" w:hAnsi="宋体" w:eastAsia="宋体" w:cs="宋体"/>
                <w:spacing w:val="-6"/>
                <w:position w:val="9"/>
                <w:sz w:val="19"/>
                <w:szCs w:val="19"/>
              </w:rPr>
              <w:t>(五</w:t>
            </w:r>
            <w:r>
              <w:rPr>
                <w:rFonts w:ascii="宋体" w:hAnsi="宋体" w:eastAsia="宋体" w:cs="宋体"/>
                <w:spacing w:val="-55"/>
                <w:position w:val="9"/>
                <w:sz w:val="19"/>
                <w:szCs w:val="19"/>
              </w:rPr>
              <w:t xml:space="preserve"> </w:t>
            </w:r>
            <w:r>
              <w:rPr>
                <w:rFonts w:ascii="宋体" w:hAnsi="宋体" w:eastAsia="宋体" w:cs="宋体"/>
                <w:spacing w:val="-6"/>
                <w:position w:val="9"/>
                <w:sz w:val="19"/>
                <w:szCs w:val="19"/>
              </w:rPr>
              <w:t>)不</w:t>
            </w:r>
          </w:p>
          <w:p>
            <w:pPr>
              <w:keepNext w:val="0"/>
              <w:keepLines w:val="0"/>
              <w:pageBreakBefore w:val="0"/>
              <w:widowControl w:val="0"/>
              <w:kinsoku/>
              <w:wordWrap/>
              <w:overflowPunct/>
              <w:topLinePunct w:val="0"/>
              <w:autoSpaceDE/>
              <w:autoSpaceDN/>
              <w:bidi w:val="0"/>
              <w:adjustRightInd/>
              <w:snapToGrid/>
              <w:spacing w:line="600" w:lineRule="exact"/>
              <w:ind w:firstLine="52"/>
              <w:textAlignment w:val="auto"/>
              <w:rPr>
                <w:rFonts w:ascii="宋体" w:hAnsi="宋体" w:eastAsia="宋体" w:cs="宋体"/>
                <w:sz w:val="19"/>
                <w:szCs w:val="19"/>
              </w:rPr>
            </w:pPr>
            <w:r>
              <w:rPr>
                <w:rFonts w:ascii="宋体" w:hAnsi="宋体" w:eastAsia="宋体" w:cs="宋体"/>
                <w:spacing w:val="-3"/>
                <w:sz w:val="19"/>
                <w:szCs w:val="19"/>
              </w:rPr>
              <w:t>予处理</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1.信访举报投诉类申请</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2.重复申请</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3.要求提供公开出版物</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4.无正当理由大量反复申请</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5.要求行政机关确认或重新出具已 获取信息</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before="62" w:line="600" w:lineRule="exact"/>
              <w:ind w:firstLine="52"/>
              <w:textAlignment w:val="auto"/>
              <w:rPr>
                <w:rFonts w:ascii="宋体" w:hAnsi="宋体" w:eastAsia="宋体" w:cs="宋体"/>
                <w:sz w:val="19"/>
                <w:szCs w:val="19"/>
              </w:rPr>
            </w:pPr>
            <w:r>
              <w:rPr>
                <w:rFonts w:ascii="宋体" w:hAnsi="宋体" w:eastAsia="宋体" w:cs="宋体"/>
                <w:spacing w:val="3"/>
                <w:position w:val="9"/>
                <w:sz w:val="19"/>
                <w:szCs w:val="19"/>
              </w:rPr>
              <w:t>(六)其</w:t>
            </w:r>
          </w:p>
          <w:p>
            <w:pPr>
              <w:keepNext w:val="0"/>
              <w:keepLines w:val="0"/>
              <w:pageBreakBefore w:val="0"/>
              <w:widowControl w:val="0"/>
              <w:kinsoku/>
              <w:wordWrap/>
              <w:overflowPunct/>
              <w:topLinePunct w:val="0"/>
              <w:autoSpaceDE/>
              <w:autoSpaceDN/>
              <w:bidi w:val="0"/>
              <w:adjustRightInd/>
              <w:snapToGrid/>
              <w:spacing w:line="600" w:lineRule="exact"/>
              <w:ind w:firstLine="52"/>
              <w:textAlignment w:val="auto"/>
              <w:rPr>
                <w:rFonts w:ascii="宋体" w:hAnsi="宋体" w:eastAsia="宋体" w:cs="宋体"/>
                <w:sz w:val="19"/>
                <w:szCs w:val="19"/>
              </w:rPr>
            </w:pPr>
            <w:r>
              <w:rPr>
                <w:rFonts w:ascii="宋体" w:hAnsi="宋体" w:eastAsia="宋体" w:cs="宋体"/>
                <w:spacing w:val="-2"/>
                <w:sz w:val="19"/>
                <w:szCs w:val="19"/>
              </w:rPr>
              <w:t>他处理</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1.申请人无正当理由逾期不补正、行 政机关不再处理其政府信息公开申请</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2.申请人逾期未按收费通知要求缴 纳费用、行政机关不再处理其政府信 息公开申请</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6" w:line="600" w:lineRule="exact"/>
              <w:ind w:firstLine="44"/>
              <w:textAlignment w:val="auto"/>
              <w:rPr>
                <w:rFonts w:ascii="宋体" w:hAnsi="宋体" w:eastAsia="宋体" w:cs="宋体"/>
                <w:spacing w:val="3"/>
                <w:sz w:val="20"/>
                <w:szCs w:val="20"/>
              </w:rPr>
            </w:pPr>
            <w:r>
              <w:rPr>
                <w:rFonts w:ascii="宋体" w:hAnsi="宋体" w:eastAsia="宋体" w:cs="宋体"/>
                <w:spacing w:val="3"/>
                <w:sz w:val="20"/>
                <w:szCs w:val="20"/>
              </w:rPr>
              <w:t>3.其他</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tcBorders>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3390"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9" w:line="600" w:lineRule="exact"/>
              <w:ind w:firstLine="102"/>
              <w:textAlignment w:val="auto"/>
              <w:rPr>
                <w:rFonts w:ascii="宋体" w:hAnsi="宋体" w:eastAsia="宋体" w:cs="宋体"/>
                <w:sz w:val="19"/>
                <w:szCs w:val="19"/>
              </w:rPr>
            </w:pPr>
            <w:r>
              <w:rPr>
                <w:rFonts w:ascii="宋体" w:hAnsi="宋体" w:eastAsia="宋体" w:cs="宋体"/>
                <w:spacing w:val="1"/>
                <w:sz w:val="19"/>
                <w:szCs w:val="19"/>
              </w:rPr>
              <w:t>(七)总计</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403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219" w:line="600" w:lineRule="exact"/>
              <w:ind w:firstLine="50"/>
              <w:textAlignment w:val="auto"/>
              <w:rPr>
                <w:rFonts w:ascii="宋体" w:hAnsi="宋体" w:eastAsia="宋体" w:cs="宋体"/>
                <w:sz w:val="19"/>
                <w:szCs w:val="19"/>
              </w:rPr>
            </w:pPr>
            <w:r>
              <w:rPr>
                <w:rFonts w:ascii="宋体" w:hAnsi="宋体" w:eastAsia="宋体" w:cs="宋体"/>
                <w:sz w:val="19"/>
                <w:szCs w:val="19"/>
              </w:rPr>
              <w:t>四、结转下年度继续办理</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default" w:ascii="Arial"/>
                <w:sz w:val="21"/>
                <w:lang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政府信息公开行政复议、行政诉讼情况</w:t>
      </w:r>
    </w:p>
    <w:tbl>
      <w:tblPr>
        <w:tblStyle w:val="4"/>
        <w:tblW w:w="963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8"/>
        <w:gridCol w:w="639"/>
        <w:gridCol w:w="638"/>
        <w:gridCol w:w="639"/>
        <w:gridCol w:w="649"/>
        <w:gridCol w:w="639"/>
        <w:gridCol w:w="638"/>
        <w:gridCol w:w="639"/>
        <w:gridCol w:w="648"/>
        <w:gridCol w:w="639"/>
        <w:gridCol w:w="639"/>
        <w:gridCol w:w="658"/>
        <w:gridCol w:w="639"/>
        <w:gridCol w:w="639"/>
        <w:gridCol w:w="6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jc w:val="center"/>
        </w:trPr>
        <w:tc>
          <w:tcPr>
            <w:tcW w:w="3213" w:type="dxa"/>
            <w:gridSpan w:val="5"/>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5" w:line="600" w:lineRule="exact"/>
              <w:ind w:firstLine="1209"/>
              <w:textAlignment w:val="auto"/>
              <w:rPr>
                <w:rFonts w:ascii="宋体" w:hAnsi="宋体" w:eastAsia="宋体" w:cs="宋体"/>
                <w:sz w:val="19"/>
                <w:szCs w:val="19"/>
              </w:rPr>
            </w:pPr>
            <w:r>
              <w:rPr>
                <w:rFonts w:ascii="宋体" w:hAnsi="宋体" w:eastAsia="宋体" w:cs="宋体"/>
                <w:spacing w:val="-2"/>
                <w:sz w:val="19"/>
                <w:szCs w:val="19"/>
              </w:rPr>
              <w:t>行政复议</w:t>
            </w:r>
          </w:p>
        </w:tc>
        <w:tc>
          <w:tcPr>
            <w:tcW w:w="6426" w:type="dxa"/>
            <w:gridSpan w:val="10"/>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5" w:line="600" w:lineRule="exact"/>
              <w:ind w:firstLine="2817"/>
              <w:textAlignment w:val="auto"/>
              <w:rPr>
                <w:rFonts w:ascii="宋体" w:hAnsi="宋体" w:eastAsia="宋体" w:cs="宋体"/>
                <w:sz w:val="19"/>
                <w:szCs w:val="19"/>
              </w:rPr>
            </w:pPr>
            <w:r>
              <w:rPr>
                <w:rFonts w:ascii="宋体" w:hAnsi="宋体" w:eastAsia="宋体" w:cs="宋体"/>
                <w:spacing w:val="-2"/>
                <w:sz w:val="19"/>
                <w:szCs w:val="19"/>
              </w:rPr>
              <w:t>行政诉讼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jc w:val="center"/>
        </w:trPr>
        <w:tc>
          <w:tcPr>
            <w:tcW w:w="648"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56" w:line="600" w:lineRule="exact"/>
              <w:ind w:left="190" w:right="11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before="56" w:line="600" w:lineRule="exact"/>
              <w:ind w:left="190" w:leftChars="0" w:right="110" w:rightChars="0" w:hanging="190" w:hangingChars="10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维持</w:t>
            </w:r>
          </w:p>
        </w:tc>
        <w:tc>
          <w:tcPr>
            <w:tcW w:w="63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47" w:line="600" w:lineRule="exact"/>
              <w:ind w:left="117" w:right="108"/>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before="47" w:line="600" w:lineRule="exact"/>
              <w:ind w:left="117" w:leftChars="0" w:right="108"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纠正</w:t>
            </w:r>
          </w:p>
        </w:tc>
        <w:tc>
          <w:tcPr>
            <w:tcW w:w="638"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16" w:line="600" w:lineRule="exact"/>
              <w:ind w:left="119" w:right="107"/>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pPr>
              <w:keepNext w:val="0"/>
              <w:keepLines w:val="0"/>
              <w:pageBreakBefore w:val="0"/>
              <w:widowControl w:val="0"/>
              <w:kinsoku/>
              <w:wordWrap/>
              <w:overflowPunct/>
              <w:topLinePunct w:val="0"/>
              <w:autoSpaceDE/>
              <w:autoSpaceDN/>
              <w:bidi w:val="0"/>
              <w:adjustRightInd/>
              <w:snapToGrid/>
              <w:spacing w:before="16" w:line="600" w:lineRule="exact"/>
              <w:ind w:left="119" w:leftChars="0" w:right="107"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结果</w:t>
            </w:r>
          </w:p>
        </w:tc>
        <w:tc>
          <w:tcPr>
            <w:tcW w:w="63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57" w:line="600" w:lineRule="exact"/>
              <w:ind w:left="120" w:leftChars="0" w:right="115"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尚未审结</w:t>
            </w:r>
          </w:p>
        </w:tc>
        <w:tc>
          <w:tcPr>
            <w:tcW w:w="64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216" w:line="600" w:lineRule="exact"/>
              <w:ind w:firstLine="122" w:firstLineChars="0"/>
              <w:jc w:val="center"/>
              <w:textAlignment w:val="auto"/>
              <w:rPr>
                <w:rFonts w:ascii="宋体" w:hAnsi="宋体" w:eastAsia="宋体" w:cs="宋体"/>
                <w:sz w:val="19"/>
                <w:szCs w:val="19"/>
              </w:rPr>
            </w:pPr>
            <w:r>
              <w:rPr>
                <w:rFonts w:ascii="宋体" w:hAnsi="宋体" w:eastAsia="宋体" w:cs="宋体"/>
                <w:spacing w:val="4"/>
                <w:sz w:val="19"/>
                <w:szCs w:val="19"/>
              </w:rPr>
              <w:t>总计</w:t>
            </w:r>
          </w:p>
        </w:tc>
        <w:tc>
          <w:tcPr>
            <w:tcW w:w="3203"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66" w:line="600" w:lineRule="exact"/>
              <w:ind w:firstLine="826"/>
              <w:jc w:val="center"/>
              <w:textAlignment w:val="auto"/>
              <w:rPr>
                <w:rFonts w:ascii="宋体" w:hAnsi="宋体" w:eastAsia="宋体" w:cs="宋体"/>
                <w:sz w:val="19"/>
                <w:szCs w:val="19"/>
              </w:rPr>
            </w:pPr>
            <w:r>
              <w:rPr>
                <w:rFonts w:ascii="宋体" w:hAnsi="宋体" w:eastAsia="宋体" w:cs="宋体"/>
                <w:spacing w:val="-2"/>
                <w:sz w:val="19"/>
                <w:szCs w:val="19"/>
              </w:rPr>
              <w:t>未经复议直接起诉</w:t>
            </w:r>
          </w:p>
        </w:tc>
        <w:tc>
          <w:tcPr>
            <w:tcW w:w="3223"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66" w:line="600" w:lineRule="exact"/>
              <w:ind w:firstLine="1124"/>
              <w:jc w:val="center"/>
              <w:textAlignment w:val="auto"/>
              <w:rPr>
                <w:rFonts w:ascii="宋体" w:hAnsi="宋体" w:eastAsia="宋体" w:cs="宋体"/>
                <w:sz w:val="19"/>
                <w:szCs w:val="19"/>
              </w:rPr>
            </w:pPr>
            <w:r>
              <w:rPr>
                <w:rFonts w:ascii="宋体" w:hAnsi="宋体" w:eastAsia="宋体" w:cs="宋体"/>
                <w:spacing w:val="1"/>
                <w:sz w:val="19"/>
                <w:szCs w:val="19"/>
              </w:rPr>
              <w:t>复议后起诉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64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sz w:val="21"/>
              </w:rPr>
            </w:pPr>
          </w:p>
        </w:tc>
        <w:tc>
          <w:tcPr>
            <w:tcW w:w="63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sz w:val="21"/>
              </w:rPr>
            </w:pPr>
          </w:p>
        </w:tc>
        <w:tc>
          <w:tcPr>
            <w:tcW w:w="63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sz w:val="21"/>
              </w:rPr>
            </w:pPr>
          </w:p>
        </w:tc>
        <w:tc>
          <w:tcPr>
            <w:tcW w:w="63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sz w:val="21"/>
              </w:rPr>
            </w:pPr>
          </w:p>
        </w:tc>
        <w:tc>
          <w:tcPr>
            <w:tcW w:w="64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sz w:val="21"/>
              </w:rPr>
            </w:pP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6" w:line="600" w:lineRule="exact"/>
              <w:ind w:left="190" w:right="11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before="56" w:line="600" w:lineRule="exact"/>
              <w:ind w:left="190" w:right="110" w:hanging="190" w:hangingChars="10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维持</w:t>
            </w:r>
          </w:p>
        </w:tc>
        <w:tc>
          <w:tcPr>
            <w:tcW w:w="6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47" w:line="600" w:lineRule="exact"/>
              <w:ind w:left="117" w:right="108"/>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before="47" w:line="600" w:lineRule="exact"/>
              <w:ind w:left="117" w:right="108"/>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纠正</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16" w:line="600" w:lineRule="exact"/>
              <w:ind w:left="119" w:right="107"/>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pPr>
              <w:keepNext w:val="0"/>
              <w:keepLines w:val="0"/>
              <w:pageBreakBefore w:val="0"/>
              <w:widowControl w:val="0"/>
              <w:kinsoku/>
              <w:wordWrap/>
              <w:overflowPunct/>
              <w:topLinePunct w:val="0"/>
              <w:autoSpaceDE/>
              <w:autoSpaceDN/>
              <w:bidi w:val="0"/>
              <w:adjustRightInd/>
              <w:snapToGrid/>
              <w:spacing w:before="16" w:line="600" w:lineRule="exact"/>
              <w:ind w:left="119" w:right="107"/>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结果</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7" w:line="600" w:lineRule="exact"/>
              <w:ind w:left="120" w:right="115"/>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尚未审结</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216" w:line="600" w:lineRule="exact"/>
              <w:ind w:firstLine="122"/>
              <w:jc w:val="center"/>
              <w:textAlignment w:val="auto"/>
              <w:rPr>
                <w:rFonts w:ascii="宋体" w:hAnsi="宋体" w:eastAsia="宋体" w:cs="宋体"/>
                <w:sz w:val="19"/>
                <w:szCs w:val="19"/>
              </w:rPr>
            </w:pPr>
            <w:r>
              <w:rPr>
                <w:rFonts w:ascii="宋体" w:hAnsi="宋体" w:eastAsia="宋体" w:cs="宋体"/>
                <w:spacing w:val="4"/>
                <w:sz w:val="19"/>
                <w:szCs w:val="19"/>
              </w:rPr>
              <w:t>总计</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6" w:line="600" w:lineRule="exact"/>
              <w:ind w:left="190" w:right="11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before="56" w:line="600" w:lineRule="exact"/>
              <w:ind w:left="190" w:leftChars="0" w:right="110" w:rightChars="0" w:hanging="190" w:hangingChars="10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维持</w:t>
            </w:r>
          </w:p>
        </w:tc>
        <w:tc>
          <w:tcPr>
            <w:tcW w:w="65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47" w:line="600" w:lineRule="exact"/>
              <w:ind w:left="117" w:right="108"/>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before="47" w:line="600" w:lineRule="exact"/>
              <w:ind w:left="117" w:leftChars="0" w:right="108"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纠正</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16" w:line="600" w:lineRule="exact"/>
              <w:ind w:left="119" w:right="107"/>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pPr>
              <w:keepNext w:val="0"/>
              <w:keepLines w:val="0"/>
              <w:pageBreakBefore w:val="0"/>
              <w:widowControl w:val="0"/>
              <w:kinsoku/>
              <w:wordWrap/>
              <w:overflowPunct/>
              <w:topLinePunct w:val="0"/>
              <w:autoSpaceDE/>
              <w:autoSpaceDN/>
              <w:bidi w:val="0"/>
              <w:adjustRightInd/>
              <w:snapToGrid/>
              <w:spacing w:before="16" w:line="600" w:lineRule="exact"/>
              <w:ind w:left="119" w:leftChars="0" w:right="107"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结果</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7" w:line="600" w:lineRule="exact"/>
              <w:ind w:left="120" w:leftChars="0" w:right="115"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尚未审结</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216" w:line="600" w:lineRule="exact"/>
              <w:ind w:firstLine="122" w:firstLineChars="0"/>
              <w:jc w:val="center"/>
              <w:textAlignment w:val="auto"/>
              <w:rPr>
                <w:rFonts w:ascii="宋体" w:hAnsi="宋体" w:eastAsia="宋体" w:cs="宋体"/>
                <w:sz w:val="19"/>
                <w:szCs w:val="19"/>
              </w:rPr>
            </w:pPr>
            <w:r>
              <w:rPr>
                <w:rFonts w:ascii="宋体" w:hAnsi="宋体" w:eastAsia="宋体" w:cs="宋体"/>
                <w:spacing w:val="4"/>
                <w:sz w:val="19"/>
                <w:szCs w:val="19"/>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jc w:val="center"/>
        </w:trPr>
        <w:tc>
          <w:tcPr>
            <w:tcW w:w="648"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eastAsiaTheme="minorEastAsia"/>
                <w:sz w:val="21"/>
                <w:lang w:val="en-US" w:eastAsia="zh-CN"/>
              </w:rPr>
            </w:pPr>
            <w:r>
              <w:rPr>
                <w:rFonts w:hint="default" w:ascii="Arial"/>
                <w:sz w:val="21"/>
                <w:lang w:eastAsia="zh-CN"/>
              </w:rPr>
              <w:t>0</w:t>
            </w:r>
          </w:p>
        </w:tc>
        <w:tc>
          <w:tcPr>
            <w:tcW w:w="639"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eastAsiaTheme="minorEastAsia"/>
                <w:sz w:val="21"/>
                <w:lang w:val="en-US" w:eastAsia="zh-CN"/>
              </w:rPr>
            </w:pPr>
            <w:r>
              <w:rPr>
                <w:rFonts w:hint="default" w:ascii="Arial"/>
                <w:sz w:val="21"/>
                <w:lang w:eastAsia="zh-CN"/>
              </w:rPr>
              <w:t>0</w:t>
            </w:r>
          </w:p>
        </w:tc>
        <w:tc>
          <w:tcPr>
            <w:tcW w:w="638"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eastAsiaTheme="minorEastAsia"/>
                <w:sz w:val="21"/>
                <w:lang w:val="en-US" w:eastAsia="zh-CN"/>
              </w:rPr>
            </w:pPr>
            <w:r>
              <w:rPr>
                <w:rFonts w:hint="default" w:ascii="Arial"/>
                <w:sz w:val="21"/>
                <w:lang w:eastAsia="zh-CN"/>
              </w:rPr>
              <w:t>0</w:t>
            </w:r>
          </w:p>
        </w:tc>
        <w:tc>
          <w:tcPr>
            <w:tcW w:w="639"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eastAsiaTheme="minorEastAsia"/>
                <w:sz w:val="21"/>
                <w:lang w:val="en-US" w:eastAsia="zh-CN"/>
              </w:rPr>
            </w:pPr>
            <w:r>
              <w:rPr>
                <w:rFonts w:hint="default" w:ascii="Arial"/>
                <w:sz w:val="21"/>
                <w:lang w:eastAsia="zh-CN"/>
              </w:rPr>
              <w:t>0</w:t>
            </w:r>
          </w:p>
        </w:tc>
        <w:tc>
          <w:tcPr>
            <w:tcW w:w="649"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eastAsiaTheme="minorEastAsia"/>
                <w:sz w:val="21"/>
                <w:lang w:val="en-US" w:eastAsia="zh-CN"/>
              </w:rPr>
            </w:pPr>
            <w:r>
              <w:rPr>
                <w:rFonts w:hint="default" w:ascii="Arial"/>
                <w:sz w:val="21"/>
                <w:lang w:eastAsia="zh-CN"/>
              </w:rPr>
              <w:t>0</w:t>
            </w:r>
          </w:p>
        </w:tc>
        <w:tc>
          <w:tcPr>
            <w:tcW w:w="639"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eastAsiaTheme="minorEastAsia"/>
                <w:sz w:val="21"/>
                <w:lang w:val="en-US" w:eastAsia="zh-CN"/>
              </w:rPr>
            </w:pPr>
            <w:r>
              <w:rPr>
                <w:rFonts w:hint="default" w:ascii="Arial"/>
                <w:sz w:val="21"/>
                <w:lang w:eastAsia="zh-CN"/>
              </w:rPr>
              <w:t>0</w:t>
            </w:r>
          </w:p>
        </w:tc>
        <w:tc>
          <w:tcPr>
            <w:tcW w:w="638"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eastAsiaTheme="minorEastAsia"/>
                <w:sz w:val="21"/>
                <w:lang w:val="en-US" w:eastAsia="zh-CN"/>
              </w:rPr>
            </w:pPr>
            <w:r>
              <w:rPr>
                <w:rFonts w:hint="default" w:ascii="Arial"/>
                <w:sz w:val="21"/>
                <w:lang w:eastAsia="zh-CN"/>
              </w:rPr>
              <w:t>0</w:t>
            </w:r>
          </w:p>
        </w:tc>
        <w:tc>
          <w:tcPr>
            <w:tcW w:w="639"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eastAsiaTheme="minorEastAsia"/>
                <w:sz w:val="21"/>
                <w:lang w:val="en-US" w:eastAsia="zh-CN"/>
              </w:rPr>
            </w:pPr>
            <w:r>
              <w:rPr>
                <w:rFonts w:hint="default" w:ascii="Arial"/>
                <w:sz w:val="21"/>
                <w:lang w:eastAsia="zh-CN"/>
              </w:rPr>
              <w:t>0</w:t>
            </w:r>
          </w:p>
        </w:tc>
        <w:tc>
          <w:tcPr>
            <w:tcW w:w="648"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eastAsiaTheme="minorEastAsia"/>
                <w:sz w:val="21"/>
                <w:lang w:val="en-US" w:eastAsia="zh-CN"/>
              </w:rPr>
            </w:pPr>
            <w:r>
              <w:rPr>
                <w:rFonts w:hint="default" w:ascii="Arial"/>
                <w:sz w:val="21"/>
                <w:lang w:eastAsia="zh-CN"/>
              </w:rPr>
              <w:t>0</w:t>
            </w:r>
          </w:p>
        </w:tc>
        <w:tc>
          <w:tcPr>
            <w:tcW w:w="639"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eastAsiaTheme="minorEastAsia"/>
                <w:sz w:val="21"/>
                <w:lang w:val="en-US" w:eastAsia="zh-CN"/>
              </w:rPr>
            </w:pPr>
            <w:r>
              <w:rPr>
                <w:rFonts w:hint="default" w:ascii="Arial"/>
                <w:sz w:val="21"/>
                <w:lang w:eastAsia="zh-CN"/>
              </w:rPr>
              <w:t>0</w:t>
            </w:r>
          </w:p>
        </w:tc>
        <w:tc>
          <w:tcPr>
            <w:tcW w:w="639"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eastAsiaTheme="minorEastAsia"/>
                <w:sz w:val="21"/>
                <w:lang w:val="en-US" w:eastAsia="zh-CN"/>
              </w:rPr>
            </w:pPr>
            <w:r>
              <w:rPr>
                <w:rFonts w:hint="default" w:ascii="Arial"/>
                <w:sz w:val="21"/>
                <w:lang w:eastAsia="zh-CN"/>
              </w:rPr>
              <w:t>0</w:t>
            </w:r>
          </w:p>
        </w:tc>
        <w:tc>
          <w:tcPr>
            <w:tcW w:w="658"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eastAsiaTheme="minorEastAsia"/>
                <w:sz w:val="21"/>
                <w:lang w:val="en-US" w:eastAsia="zh-CN"/>
              </w:rPr>
            </w:pPr>
            <w:r>
              <w:rPr>
                <w:rFonts w:hint="default" w:ascii="Arial"/>
                <w:sz w:val="21"/>
                <w:lang w:eastAsia="zh-CN"/>
              </w:rPr>
              <w:t>0</w:t>
            </w:r>
          </w:p>
        </w:tc>
        <w:tc>
          <w:tcPr>
            <w:tcW w:w="639"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default" w:ascii="Arial"/>
                <w:sz w:val="21"/>
                <w:lang w:eastAsia="zh-CN"/>
              </w:rPr>
              <w:t>0</w:t>
            </w:r>
          </w:p>
        </w:tc>
        <w:tc>
          <w:tcPr>
            <w:tcW w:w="639"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eastAsiaTheme="minorEastAsia"/>
                <w:sz w:val="21"/>
                <w:lang w:val="en-US" w:eastAsia="zh-CN"/>
              </w:rPr>
            </w:pPr>
            <w:r>
              <w:rPr>
                <w:rFonts w:hint="default" w:ascii="Arial"/>
                <w:sz w:val="21"/>
                <w:lang w:eastAsia="zh-CN"/>
              </w:rPr>
              <w:t>0</w:t>
            </w:r>
          </w:p>
        </w:tc>
        <w:tc>
          <w:tcPr>
            <w:tcW w:w="648"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eastAsiaTheme="minorEastAsia"/>
                <w:sz w:val="21"/>
                <w:lang w:val="en-US" w:eastAsia="zh-CN"/>
              </w:rPr>
            </w:pPr>
            <w:r>
              <w:rPr>
                <w:rFonts w:hint="default" w:ascii="Arial"/>
                <w:sz w:val="21"/>
                <w:lang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存在的主要问题及改进情况</w:t>
      </w:r>
    </w:p>
    <w:p>
      <w:pPr>
        <w:spacing w:line="360" w:lineRule="auto"/>
        <w:ind w:firstLine="642"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（一）存在的主要问题。</w:t>
      </w:r>
      <w:r>
        <w:rPr>
          <w:rFonts w:hint="eastAsia" w:ascii="仿宋_GB2312" w:hAnsi="仿宋_GB2312" w:eastAsia="仿宋_GB2312" w:cs="仿宋_GB2312"/>
          <w:sz w:val="32"/>
          <w:szCs w:val="32"/>
        </w:rPr>
        <w:t>一是惠企政策知晓率不够高，调研中有不少企业反映不了解相关惠企政策具体情况，政府信息主动公开的广度、深度仍需进一步拓展、延伸。 二是工作队伍稳定性有待加强，业务能力有待进一步提升，目前我局只有一名政府信息公开兼职工作人员，工作人员流动性强，专职培训持续性弱，容易造成工作脱节。 三是政务公开标准化规范化有待提升，政务公开的内容和形式有待进一步规范，相关工作体制机制有待进一步完善。 </w:t>
      </w:r>
    </w:p>
    <w:p>
      <w:pPr>
        <w:spacing w:line="360" w:lineRule="auto"/>
        <w:ind w:firstLine="642"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（二）整改措施。</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进一步健全制度，充实人员。</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加大信息力度。办公室将全面督促</w:t>
      </w:r>
      <w:r>
        <w:rPr>
          <w:rFonts w:hint="eastAsia" w:ascii="仿宋_GB2312" w:hAnsi="仿宋_GB2312" w:eastAsia="仿宋_GB2312" w:cs="仿宋_GB2312"/>
          <w:sz w:val="32"/>
          <w:szCs w:val="32"/>
          <w:lang w:eastAsia="zh-CN"/>
        </w:rPr>
        <w:t>股</w:t>
      </w:r>
      <w:r>
        <w:rPr>
          <w:rFonts w:hint="eastAsia" w:ascii="仿宋_GB2312" w:hAnsi="仿宋_GB2312" w:eastAsia="仿宋_GB2312" w:cs="仿宋_GB2312"/>
          <w:sz w:val="32"/>
          <w:szCs w:val="32"/>
        </w:rPr>
        <w:t>室信息公开工作落实进展情况，定期或不定期组织开展对政府信息公开工作情况的检查，适时通报检查情况。对工作不力的，限期整改；对造成严重影响的，严肃追究</w:t>
      </w:r>
      <w:r>
        <w:rPr>
          <w:rFonts w:hint="eastAsia" w:ascii="仿宋_GB2312" w:hAnsi="仿宋_GB2312" w:eastAsia="仿宋_GB2312" w:cs="仿宋_GB2312"/>
          <w:sz w:val="32"/>
          <w:szCs w:val="32"/>
          <w:lang w:eastAsia="zh-CN"/>
        </w:rPr>
        <w:t>股</w:t>
      </w:r>
      <w:r>
        <w:rPr>
          <w:rFonts w:hint="eastAsia" w:ascii="仿宋_GB2312" w:hAnsi="仿宋_GB2312" w:eastAsia="仿宋_GB2312" w:cs="仿宋_GB2312"/>
          <w:sz w:val="32"/>
          <w:szCs w:val="32"/>
        </w:rPr>
        <w:t>室及其责任人的责任。</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加强宣传培训。加强对政府信息公开工作的宣传报道，引导群众关心政府信息公开，依法有序参与政府信息公开，运用《条例》保护自己的合法权益。加强对领导干部和政府信息公开业务人员的培训，提升公开意识，提高业务水平，提高政府信息公开工作的质量和水平。 </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其他需要报告的事项</w:t>
      </w:r>
    </w:p>
    <w:p>
      <w:pPr>
        <w:spacing w:line="360" w:lineRule="auto"/>
        <w:ind w:firstLine="640" w:firstLineChars="200"/>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t>无</w:t>
      </w:r>
    </w:p>
    <w:p>
      <w:pPr>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Noto Sans CJK SC"/>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Noto Sans CJK SC"/>
    <w:panose1 w:val="02010609060101010101"/>
    <w:charset w:val="86"/>
    <w:family w:val="auto"/>
    <w:pitch w:val="default"/>
    <w:sig w:usb0="00000000" w:usb1="00000000" w:usb2="00000016" w:usb3="00000000" w:csb0="00040001" w:csb1="00000000"/>
  </w:font>
  <w:font w:name="Noto Sans CJK SC">
    <w:panose1 w:val="020B0500000000000000"/>
    <w:charset w:val="86"/>
    <w:family w:val="auto"/>
    <w:pitch w:val="default"/>
    <w:sig w:usb0="3000000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EA02D8"/>
    <w:multiLevelType w:val="singleLevel"/>
    <w:tmpl w:val="69EA02D8"/>
    <w:lvl w:ilvl="0" w:tentative="0">
      <w:start w:val="4"/>
      <w:numFmt w:val="chineseCounting"/>
      <w:suff w:val="nothing"/>
      <w:lvlText w:val="%1、"/>
      <w:lvlJc w:val="left"/>
      <w:rPr>
        <w:rFonts w:hint="eastAsia"/>
      </w:rPr>
    </w:lvl>
  </w:abstractNum>
  <w:abstractNum w:abstractNumId="1">
    <w:nsid w:val="70701A5E"/>
    <w:multiLevelType w:val="singleLevel"/>
    <w:tmpl w:val="70701A5E"/>
    <w:lvl w:ilvl="0" w:tentative="0">
      <w:start w:val="1"/>
      <w:numFmt w:val="chineseCounting"/>
      <w:suff w:val="nothing"/>
      <w:lvlText w:val="%1、"/>
      <w:lvlJc w:val="left"/>
      <w:pPr>
        <w:ind w:left="-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92B74"/>
    <w:rsid w:val="238F3EBD"/>
    <w:rsid w:val="2713111B"/>
    <w:rsid w:val="2AF8539D"/>
    <w:rsid w:val="2E4C670C"/>
    <w:rsid w:val="32992B74"/>
    <w:rsid w:val="4F263EA4"/>
    <w:rsid w:val="4F693DE7"/>
    <w:rsid w:val="508E1B65"/>
    <w:rsid w:val="5E621C29"/>
    <w:rsid w:val="7246656C"/>
    <w:rsid w:val="744934AE"/>
    <w:rsid w:val="7A34604F"/>
    <w:rsid w:val="7BAA0BC1"/>
    <w:rsid w:val="7DA64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2022-01-19T16:36:00Z</dcterms:created>
  <dc:creator>Zoe</dc:creator>
  <cp:lastModifiedBy>baixin</cp:lastModifiedBy>
  <cp:lastPrinted>2022-03-01T09:00:00Z</cp:lastPrinted>
  <dcterms:modified xsi:type="dcterms:W3CDTF">2022-03-01T09:20:59Z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0CEED9DB96C1459BACFB99060BB74CEB</vt:lpwstr>
  </property>
</Properties>
</file>