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4C" w:rsidRDefault="00920D4C">
      <w:pPr>
        <w:widowControl/>
        <w:shd w:val="clear" w:color="auto" w:fill="FFFFFF"/>
        <w:spacing w:line="600" w:lineRule="exact"/>
        <w:jc w:val="center"/>
        <w:rPr>
          <w:rFonts w:ascii="华文中宋" w:eastAsia="华文中宋" w:hAnsi="华文中宋" w:cs="华文中宋"/>
          <w:b/>
          <w:bCs/>
          <w:color w:val="333333"/>
          <w:kern w:val="0"/>
          <w:sz w:val="44"/>
          <w:szCs w:val="44"/>
        </w:rPr>
      </w:pPr>
    </w:p>
    <w:p w:rsidR="00920D4C" w:rsidRDefault="00B10D32">
      <w:pPr>
        <w:widowControl/>
        <w:shd w:val="clear" w:color="auto" w:fill="FFFFFF"/>
        <w:spacing w:line="600" w:lineRule="exact"/>
        <w:jc w:val="center"/>
        <w:rPr>
          <w:rFonts w:asciiTheme="majorEastAsia" w:eastAsiaTheme="majorEastAsia" w:hAnsiTheme="majorEastAsia" w:cs="华文中宋"/>
          <w:b/>
          <w:bCs/>
          <w:color w:val="333333"/>
          <w:kern w:val="0"/>
          <w:sz w:val="44"/>
          <w:szCs w:val="44"/>
        </w:rPr>
      </w:pPr>
      <w:r w:rsidRPr="006347B0">
        <w:rPr>
          <w:rFonts w:asciiTheme="majorEastAsia" w:eastAsiaTheme="majorEastAsia" w:hAnsiTheme="majorEastAsia" w:cs="华文中宋" w:hint="eastAsia"/>
          <w:b/>
          <w:bCs/>
          <w:color w:val="333333"/>
          <w:kern w:val="0"/>
          <w:sz w:val="44"/>
          <w:szCs w:val="44"/>
        </w:rPr>
        <w:t>尧都区</w:t>
      </w:r>
      <w:r w:rsidR="00920D4C">
        <w:rPr>
          <w:rFonts w:asciiTheme="majorEastAsia" w:eastAsiaTheme="majorEastAsia" w:hAnsiTheme="majorEastAsia" w:cs="华文中宋" w:hint="eastAsia"/>
          <w:b/>
          <w:bCs/>
          <w:color w:val="333333"/>
          <w:kern w:val="0"/>
          <w:sz w:val="44"/>
          <w:szCs w:val="44"/>
        </w:rPr>
        <w:t>能源局</w:t>
      </w:r>
    </w:p>
    <w:p w:rsidR="003F54F6" w:rsidRPr="006347B0" w:rsidRDefault="00B10D32">
      <w:pPr>
        <w:widowControl/>
        <w:shd w:val="clear" w:color="auto" w:fill="FFFFFF"/>
        <w:spacing w:line="600" w:lineRule="exact"/>
        <w:jc w:val="center"/>
        <w:rPr>
          <w:rFonts w:asciiTheme="majorEastAsia" w:eastAsiaTheme="majorEastAsia" w:hAnsiTheme="majorEastAsia" w:cs="华文中宋"/>
          <w:b/>
          <w:bCs/>
          <w:color w:val="333333"/>
          <w:kern w:val="0"/>
          <w:sz w:val="36"/>
          <w:szCs w:val="36"/>
        </w:rPr>
      </w:pPr>
      <w:r w:rsidRPr="006347B0">
        <w:rPr>
          <w:rFonts w:asciiTheme="majorEastAsia" w:eastAsiaTheme="majorEastAsia" w:hAnsiTheme="majorEastAsia" w:cs="华文中宋" w:hint="eastAsia"/>
          <w:b/>
          <w:bCs/>
          <w:color w:val="333333"/>
          <w:kern w:val="0"/>
          <w:sz w:val="44"/>
          <w:szCs w:val="44"/>
        </w:rPr>
        <w:t>2022年政府信息公开工作报告</w:t>
      </w:r>
    </w:p>
    <w:p w:rsidR="003F54F6" w:rsidRDefault="003F54F6">
      <w:pPr>
        <w:widowControl/>
        <w:shd w:val="clear" w:color="auto" w:fill="FFFFFF"/>
        <w:ind w:firstLineChars="200" w:firstLine="643"/>
        <w:rPr>
          <w:rFonts w:ascii="黑体" w:eastAsia="黑体" w:hAnsi="黑体" w:cs="黑体"/>
          <w:b/>
          <w:bCs/>
          <w:color w:val="333333"/>
          <w:kern w:val="0"/>
          <w:sz w:val="32"/>
          <w:szCs w:val="32"/>
        </w:rPr>
      </w:pPr>
    </w:p>
    <w:p w:rsidR="003F54F6" w:rsidRDefault="00B10D32">
      <w:pPr>
        <w:widowControl/>
        <w:shd w:val="clear" w:color="auto" w:fill="FFFFFF"/>
        <w:ind w:firstLineChars="200" w:firstLine="643"/>
        <w:rPr>
          <w:rFonts w:ascii="宋体" w:eastAsia="宋体" w:hAnsi="宋体" w:cs="宋体"/>
          <w:color w:val="333333"/>
          <w:kern w:val="0"/>
          <w:sz w:val="32"/>
          <w:szCs w:val="32"/>
        </w:rPr>
      </w:pPr>
      <w:r>
        <w:rPr>
          <w:rFonts w:ascii="黑体" w:eastAsia="黑体" w:hAnsi="黑体" w:cs="黑体" w:hint="eastAsia"/>
          <w:b/>
          <w:bCs/>
          <w:color w:val="333333"/>
          <w:kern w:val="0"/>
          <w:sz w:val="32"/>
          <w:szCs w:val="32"/>
        </w:rPr>
        <w:t>一、总体情况</w:t>
      </w:r>
    </w:p>
    <w:p w:rsidR="00A042E3" w:rsidRPr="004857FD" w:rsidRDefault="00A042E3" w:rsidP="00A042E3">
      <w:pPr>
        <w:spacing w:line="560" w:lineRule="exact"/>
        <w:ind w:firstLineChars="200" w:firstLine="640"/>
        <w:rPr>
          <w:rFonts w:ascii="仿宋" w:eastAsia="仿宋" w:hAnsi="仿宋" w:cstheme="minorEastAsia"/>
          <w:sz w:val="32"/>
          <w:szCs w:val="32"/>
        </w:rPr>
      </w:pPr>
      <w:r w:rsidRPr="004857FD">
        <w:rPr>
          <w:rFonts w:ascii="仿宋" w:eastAsia="仿宋" w:hAnsi="仿宋" w:cstheme="minorEastAsia" w:hint="eastAsia"/>
          <w:sz w:val="32"/>
          <w:szCs w:val="32"/>
        </w:rPr>
        <w:t>2022年，按照省、市、区相关政务公开工作的要求和部署，根据《临汾市政府信息公开暂行办法》和《尧都区人民政府办公室《关于印发2022年度政务公开工作专项考核方案的通知》要求，我局将政务信息公开工作纳入重要的议事日程。围绕增强工作透明度,加强民主监督,密切与人民群众的联系，将“公正、公平、便民”的总体原则及“及时、准确”的总体要求贯彻落实于工作当中，切实推进了全局政务信息公开工作，现将我局政务公开自查情况汇报如下：</w:t>
      </w:r>
    </w:p>
    <w:p w:rsidR="003F54F6" w:rsidRPr="004857FD" w:rsidRDefault="00B10D32" w:rsidP="004857FD">
      <w:pPr>
        <w:spacing w:line="560" w:lineRule="exact"/>
        <w:ind w:firstLineChars="100" w:firstLine="321"/>
        <w:rPr>
          <w:rFonts w:ascii="楷体" w:eastAsia="楷体" w:hAnsi="楷体" w:cs="楷体"/>
          <w:b/>
          <w:bCs/>
          <w:sz w:val="32"/>
          <w:szCs w:val="32"/>
        </w:rPr>
      </w:pPr>
      <w:r w:rsidRPr="004857FD">
        <w:rPr>
          <w:rFonts w:ascii="楷体" w:eastAsia="楷体" w:hAnsi="楷体" w:cs="楷体" w:hint="eastAsia"/>
          <w:b/>
          <w:bCs/>
          <w:sz w:val="32"/>
          <w:szCs w:val="32"/>
        </w:rPr>
        <w:t xml:space="preserve">（一）基本情况 </w:t>
      </w:r>
    </w:p>
    <w:p w:rsidR="00336C64" w:rsidRPr="004857FD" w:rsidRDefault="00B10D32" w:rsidP="004857FD">
      <w:pPr>
        <w:spacing w:line="560" w:lineRule="exact"/>
        <w:ind w:firstLineChars="200" w:firstLine="643"/>
        <w:rPr>
          <w:rFonts w:ascii="仿宋" w:eastAsia="仿宋" w:hAnsi="仿宋" w:cstheme="minorEastAsia"/>
          <w:sz w:val="32"/>
          <w:szCs w:val="32"/>
        </w:rPr>
      </w:pPr>
      <w:r w:rsidRPr="004857FD">
        <w:rPr>
          <w:rFonts w:ascii="仿宋" w:eastAsia="仿宋" w:hAnsi="仿宋" w:cs="仿宋" w:hint="eastAsia"/>
          <w:b/>
          <w:bCs/>
          <w:sz w:val="32"/>
          <w:szCs w:val="32"/>
        </w:rPr>
        <w:t>1.组织领导情况</w:t>
      </w:r>
      <w:r>
        <w:rPr>
          <w:rFonts w:ascii="仿宋" w:eastAsia="仿宋" w:hAnsi="仿宋" w:cs="仿宋" w:hint="eastAsia"/>
          <w:b/>
          <w:bCs/>
          <w:sz w:val="32"/>
          <w:szCs w:val="32"/>
        </w:rPr>
        <w:t>。</w:t>
      </w:r>
      <w:r w:rsidR="00336C64" w:rsidRPr="004857FD">
        <w:rPr>
          <w:rFonts w:ascii="仿宋" w:eastAsia="仿宋" w:hAnsi="仿宋" w:cstheme="minorEastAsia" w:hint="eastAsia"/>
          <w:sz w:val="32"/>
          <w:szCs w:val="32"/>
        </w:rPr>
        <w:t>我局始终高度重视政务公开工作并将其列入重要的议事日程。为进一步加强组织领导，经研究，对政务公开领导小组进行了调整，局长李青春担任组长，其他班子成员担任副组长，各股室负责人为成员。设置了领导小组办公室，承担政务公开日常工作。</w:t>
      </w:r>
    </w:p>
    <w:p w:rsidR="00336C64" w:rsidRPr="004857FD" w:rsidRDefault="00336C64" w:rsidP="004857FD">
      <w:pPr>
        <w:spacing w:line="560" w:lineRule="exact"/>
        <w:ind w:firstLineChars="200" w:firstLine="643"/>
        <w:rPr>
          <w:rFonts w:ascii="仿宋" w:eastAsia="仿宋" w:hAnsi="仿宋" w:cstheme="minorEastAsia"/>
          <w:sz w:val="32"/>
          <w:szCs w:val="32"/>
        </w:rPr>
      </w:pPr>
      <w:r w:rsidRPr="004857FD">
        <w:rPr>
          <w:rFonts w:ascii="仿宋" w:eastAsia="仿宋" w:hAnsi="仿宋" w:cstheme="minorEastAsia" w:hint="eastAsia"/>
          <w:b/>
          <w:bCs/>
          <w:sz w:val="32"/>
          <w:szCs w:val="32"/>
        </w:rPr>
        <w:t>2.政策宣传和学习工作情况。</w:t>
      </w:r>
      <w:r w:rsidRPr="004857FD">
        <w:rPr>
          <w:rFonts w:ascii="仿宋" w:eastAsia="仿宋" w:hAnsi="仿宋" w:cstheme="minorEastAsia" w:hint="eastAsia"/>
          <w:sz w:val="32"/>
          <w:szCs w:val="32"/>
        </w:rPr>
        <w:t>一是采取集中学习的方式，适时组织机关干部和各股室负责人集中学习政府信息公开工作相关文件，宣传政务公开相关政策、办法。提高大家对推行政府信息</w:t>
      </w:r>
      <w:r w:rsidR="00D65FB3" w:rsidRPr="004857FD">
        <w:rPr>
          <w:rFonts w:ascii="仿宋" w:eastAsia="仿宋" w:hAnsi="仿宋" w:cstheme="minorEastAsia" w:hint="eastAsia"/>
          <w:sz w:val="32"/>
          <w:szCs w:val="32"/>
        </w:rPr>
        <w:t>公开工作重要性的认识，确保信息公开依法有序、流程规范、内容完善；</w:t>
      </w:r>
      <w:r w:rsidRPr="004857FD">
        <w:rPr>
          <w:rFonts w:ascii="仿宋" w:eastAsia="仿宋" w:hAnsi="仿宋" w:cstheme="minorEastAsia" w:hint="eastAsia"/>
          <w:sz w:val="32"/>
          <w:szCs w:val="32"/>
        </w:rPr>
        <w:t>二是积极参加上级组织的信息工作学习培训，加强信</w:t>
      </w:r>
      <w:r w:rsidRPr="004857FD">
        <w:rPr>
          <w:rFonts w:ascii="仿宋" w:eastAsia="仿宋" w:hAnsi="仿宋" w:cstheme="minorEastAsia" w:hint="eastAsia"/>
          <w:sz w:val="32"/>
          <w:szCs w:val="32"/>
        </w:rPr>
        <w:lastRenderedPageBreak/>
        <w:t xml:space="preserve">息公开队伍建设。 </w:t>
      </w:r>
    </w:p>
    <w:p w:rsidR="00D65FB3" w:rsidRPr="004857FD" w:rsidRDefault="00B10D32" w:rsidP="004857FD">
      <w:pPr>
        <w:spacing w:line="560" w:lineRule="exact"/>
        <w:ind w:firstLineChars="150" w:firstLine="482"/>
        <w:rPr>
          <w:rFonts w:ascii="楷体" w:eastAsia="楷体" w:hAnsi="楷体" w:cs="楷体"/>
          <w:b/>
          <w:bCs/>
          <w:sz w:val="32"/>
          <w:szCs w:val="32"/>
        </w:rPr>
      </w:pPr>
      <w:r w:rsidRPr="004857FD">
        <w:rPr>
          <w:rFonts w:ascii="楷体" w:eastAsia="楷体" w:hAnsi="楷体" w:cs="楷体" w:hint="eastAsia"/>
          <w:b/>
          <w:bCs/>
          <w:sz w:val="32"/>
          <w:szCs w:val="32"/>
        </w:rPr>
        <w:t>（二）2022年政务信息公开重点工作完成情况</w:t>
      </w:r>
    </w:p>
    <w:p w:rsidR="00D65FB3" w:rsidRPr="004857FD" w:rsidRDefault="00D65FB3" w:rsidP="00D65FB3">
      <w:pPr>
        <w:spacing w:line="560" w:lineRule="exact"/>
        <w:ind w:firstLineChars="250" w:firstLine="803"/>
        <w:rPr>
          <w:rFonts w:ascii="仿宋" w:eastAsia="仿宋" w:hAnsi="仿宋" w:cstheme="minorEastAsia"/>
          <w:color w:val="333333"/>
          <w:sz w:val="32"/>
          <w:szCs w:val="32"/>
        </w:rPr>
      </w:pPr>
      <w:r w:rsidRPr="004857FD">
        <w:rPr>
          <w:rFonts w:ascii="仿宋" w:eastAsia="仿宋" w:hAnsi="仿宋" w:cstheme="minorEastAsia" w:hint="eastAsia"/>
          <w:b/>
          <w:bCs/>
          <w:sz w:val="32"/>
          <w:szCs w:val="32"/>
        </w:rPr>
        <w:t>1.严格执行政府信息公开各项制度。</w:t>
      </w:r>
      <w:r w:rsidRPr="004857FD">
        <w:rPr>
          <w:rFonts w:ascii="仿宋" w:eastAsia="仿宋" w:hAnsi="仿宋" w:cstheme="minorEastAsia" w:hint="eastAsia"/>
          <w:sz w:val="32"/>
          <w:szCs w:val="32"/>
        </w:rPr>
        <w:t>严格执行政府信息主动公开制度、政府信息依申请公开制度、政府信息公开保密审查制度、政府信息公开责任追究制度、政府信息公开年度报告制度。</w:t>
      </w:r>
    </w:p>
    <w:p w:rsidR="00D65FB3" w:rsidRPr="004857FD" w:rsidRDefault="00D65FB3" w:rsidP="00D65FB3">
      <w:pPr>
        <w:spacing w:line="560" w:lineRule="exact"/>
        <w:ind w:firstLineChars="250" w:firstLine="803"/>
        <w:rPr>
          <w:rFonts w:ascii="仿宋" w:eastAsia="仿宋" w:hAnsi="仿宋" w:cstheme="minorEastAsia"/>
          <w:sz w:val="32"/>
          <w:szCs w:val="32"/>
        </w:rPr>
      </w:pPr>
      <w:r w:rsidRPr="004857FD">
        <w:rPr>
          <w:rFonts w:ascii="仿宋" w:eastAsia="仿宋" w:hAnsi="仿宋" w:cstheme="minorEastAsia" w:hint="eastAsia"/>
          <w:b/>
          <w:bCs/>
          <w:sz w:val="32"/>
          <w:szCs w:val="32"/>
        </w:rPr>
        <w:t>2.基层政务公开标准化规范化建设情况。</w:t>
      </w:r>
      <w:r w:rsidRPr="004857FD">
        <w:rPr>
          <w:rFonts w:ascii="仿宋" w:eastAsia="仿宋" w:hAnsi="仿宋" w:cstheme="minorEastAsia" w:hint="eastAsia"/>
          <w:sz w:val="32"/>
          <w:szCs w:val="32"/>
        </w:rPr>
        <w:t>结合我局实际情况，按时间节点研究制定了《尧都区能源局局推进基层政务公开标准化规范化工作实施方案》；</w:t>
      </w:r>
      <w:r w:rsidRPr="004857FD">
        <w:rPr>
          <w:rFonts w:ascii="仿宋" w:eastAsia="仿宋" w:hAnsi="仿宋" w:cstheme="minorEastAsia" w:hint="eastAsia"/>
          <w:color w:val="333333"/>
          <w:sz w:val="32"/>
          <w:szCs w:val="32"/>
        </w:rPr>
        <w:t xml:space="preserve">对照国务院、省、市、区政府相关部门制定的重大项目领域基层政务公开标准指引及标准目录，结合本单位权责清单和公共服务事项清单，全面梳理细化相关领域政务公开事项，按时间节点编制完成了重点领域基层政务公开标准指引和本单位政务公开事项标准目录，标准目录包括公开事项的名称、内容、依据、时限、主体、方式、渠道、公开对象等要素。 </w:t>
      </w:r>
      <w:r w:rsidRPr="004857FD">
        <w:rPr>
          <w:rFonts w:ascii="仿宋" w:eastAsia="仿宋" w:hAnsi="仿宋" w:cstheme="minorEastAsia" w:hint="eastAsia"/>
          <w:sz w:val="32"/>
          <w:szCs w:val="32"/>
        </w:rPr>
        <w:t xml:space="preserve"> </w:t>
      </w:r>
    </w:p>
    <w:p w:rsidR="00D65FB3" w:rsidRPr="004857FD" w:rsidRDefault="00D65FB3" w:rsidP="004857FD">
      <w:pPr>
        <w:spacing w:line="560" w:lineRule="exact"/>
        <w:ind w:firstLineChars="250" w:firstLine="803"/>
        <w:rPr>
          <w:rFonts w:ascii="仿宋" w:eastAsia="仿宋" w:hAnsi="仿宋" w:cstheme="minorEastAsia"/>
          <w:sz w:val="32"/>
          <w:szCs w:val="32"/>
        </w:rPr>
      </w:pPr>
      <w:r w:rsidRPr="004857FD">
        <w:rPr>
          <w:rFonts w:ascii="仿宋" w:eastAsia="仿宋" w:hAnsi="仿宋" w:cstheme="minorEastAsia" w:hint="eastAsia"/>
          <w:b/>
          <w:bCs/>
          <w:sz w:val="32"/>
          <w:szCs w:val="32"/>
        </w:rPr>
        <w:t>3.文件属性认定情况。</w:t>
      </w:r>
      <w:r w:rsidRPr="004857FD">
        <w:rPr>
          <w:rFonts w:ascii="仿宋" w:eastAsia="仿宋" w:hAnsi="仿宋" w:cstheme="minorEastAsia" w:hint="eastAsia"/>
          <w:sz w:val="32"/>
          <w:szCs w:val="32"/>
        </w:rPr>
        <w:t xml:space="preserve">规范管理文件属性源头认定，适时调整政务公开基本目录。 </w:t>
      </w:r>
    </w:p>
    <w:p w:rsidR="00D65FB3" w:rsidRPr="004857FD" w:rsidRDefault="00D65FB3" w:rsidP="00D65FB3">
      <w:pPr>
        <w:spacing w:line="560" w:lineRule="exact"/>
        <w:ind w:firstLineChars="250" w:firstLine="803"/>
        <w:rPr>
          <w:rFonts w:ascii="仿宋" w:eastAsia="仿宋" w:hAnsi="仿宋" w:cstheme="minorEastAsia"/>
          <w:sz w:val="32"/>
          <w:szCs w:val="32"/>
        </w:rPr>
      </w:pPr>
      <w:r w:rsidRPr="004857FD">
        <w:rPr>
          <w:rFonts w:ascii="仿宋" w:eastAsia="仿宋" w:hAnsi="仿宋" w:cstheme="minorEastAsia" w:hint="eastAsia"/>
          <w:b/>
          <w:bCs/>
          <w:sz w:val="32"/>
          <w:szCs w:val="32"/>
        </w:rPr>
        <w:t>4.依申请公开情况。</w:t>
      </w:r>
      <w:r w:rsidRPr="004857FD">
        <w:rPr>
          <w:rFonts w:ascii="仿宋" w:eastAsia="仿宋" w:hAnsi="仿宋" w:cstheme="minorEastAsia" w:hint="eastAsia"/>
          <w:color w:val="000000"/>
          <w:sz w:val="32"/>
          <w:szCs w:val="32"/>
        </w:rPr>
        <w:t>进一步加强依申请公开内部流程机制建设，严格按照登记、受理、补正、征求意见、提出办理意见、作出决定、报批、送达等流程顺序，规范依</w:t>
      </w:r>
      <w:r w:rsidRPr="004857FD">
        <w:rPr>
          <w:rFonts w:ascii="仿宋" w:eastAsia="仿宋" w:hAnsi="仿宋" w:cstheme="minorEastAsia" w:hint="eastAsia"/>
          <w:sz w:val="32"/>
          <w:szCs w:val="32"/>
        </w:rPr>
        <w:t>申请公开流程。严格执行《行政诉讼法》《行政复议法》《政</w:t>
      </w:r>
      <w:r w:rsidRPr="004857FD">
        <w:rPr>
          <w:rFonts w:ascii="仿宋" w:eastAsia="仿宋" w:hAnsi="仿宋" w:cstheme="minorEastAsia" w:hint="eastAsia"/>
          <w:color w:val="000000"/>
          <w:sz w:val="32"/>
          <w:szCs w:val="32"/>
        </w:rPr>
        <w:t>府信息公开条例》等法律法规中关于期限、答复类型、 答复方式等各项规定，做到程序合法、处置合理、答复规范、措辞得当，最大限度为申请人提供相关政府信息，切实保障申请人权利，维护政府公信力。</w:t>
      </w:r>
      <w:r w:rsidRPr="004857FD">
        <w:rPr>
          <w:rFonts w:ascii="仿宋" w:eastAsia="仿宋" w:hAnsi="仿宋" w:cstheme="minorEastAsia" w:hint="eastAsia"/>
          <w:sz w:val="32"/>
          <w:szCs w:val="32"/>
        </w:rPr>
        <w:t>2022年，未收到公民、法人和其他组织需要我局主动公开以外的政府</w:t>
      </w:r>
      <w:r w:rsidRPr="004857FD">
        <w:rPr>
          <w:rFonts w:ascii="仿宋" w:eastAsia="仿宋" w:hAnsi="仿宋" w:cstheme="minorEastAsia" w:hint="eastAsia"/>
          <w:sz w:val="32"/>
          <w:szCs w:val="32"/>
        </w:rPr>
        <w:lastRenderedPageBreak/>
        <w:t>信息的申请，也未接到关于不予公开政府信息的电话咨询。</w:t>
      </w:r>
    </w:p>
    <w:p w:rsidR="00D65FB3" w:rsidRPr="004857FD" w:rsidRDefault="00D65FB3" w:rsidP="004857FD">
      <w:pPr>
        <w:spacing w:line="560" w:lineRule="exact"/>
        <w:ind w:firstLineChars="200" w:firstLine="643"/>
        <w:rPr>
          <w:rFonts w:ascii="仿宋" w:eastAsia="仿宋" w:hAnsi="仿宋" w:cstheme="minorEastAsia"/>
          <w:sz w:val="32"/>
          <w:szCs w:val="32"/>
        </w:rPr>
      </w:pPr>
      <w:r w:rsidRPr="004857FD">
        <w:rPr>
          <w:rFonts w:ascii="仿宋" w:eastAsia="仿宋" w:hAnsi="仿宋" w:cstheme="minorEastAsia" w:hint="eastAsia"/>
          <w:b/>
          <w:bCs/>
          <w:sz w:val="32"/>
          <w:szCs w:val="32"/>
        </w:rPr>
        <w:t>5.政策解读情况。</w:t>
      </w:r>
      <w:r w:rsidRPr="004857FD">
        <w:rPr>
          <w:rFonts w:ascii="仿宋" w:eastAsia="仿宋" w:hAnsi="仿宋" w:cstheme="minorEastAsia" w:hint="eastAsia"/>
          <w:sz w:val="32"/>
          <w:szCs w:val="32"/>
        </w:rPr>
        <w:t>及时传递党和国家相关政策,准确解读贯彻执行措施。坚持“谁起草、谁解读”的原则，认真落实政策文件与解读方案或解读材料同步起草、同步审签、同步发布工作机制，解读材料的内容主要包括文件出台的背景依据、目标任务、主要内容、具体举措、适用对象，以及注意事项、关键词解释、新旧政策差异、解读机关等。</w:t>
      </w:r>
    </w:p>
    <w:p w:rsidR="00D65FB3" w:rsidRPr="004857FD" w:rsidRDefault="00D65FB3" w:rsidP="004857FD">
      <w:pPr>
        <w:pStyle w:val="a3"/>
        <w:adjustRightInd w:val="0"/>
        <w:snapToGrid w:val="0"/>
        <w:spacing w:line="560" w:lineRule="exact"/>
        <w:ind w:firstLineChars="200" w:firstLine="643"/>
        <w:jc w:val="left"/>
        <w:rPr>
          <w:rFonts w:ascii="仿宋" w:eastAsia="仿宋" w:hAnsi="仿宋" w:cstheme="minorEastAsia"/>
          <w:sz w:val="32"/>
          <w:szCs w:val="32"/>
          <w:shd w:val="clear" w:color="auto" w:fill="FFFFFF"/>
        </w:rPr>
      </w:pPr>
      <w:r w:rsidRPr="004857FD">
        <w:rPr>
          <w:rFonts w:ascii="仿宋" w:eastAsia="仿宋" w:hAnsi="仿宋" w:cstheme="minorEastAsia" w:hint="eastAsia"/>
          <w:b/>
          <w:bCs/>
          <w:sz w:val="32"/>
          <w:szCs w:val="32"/>
        </w:rPr>
        <w:t>6.政务舆情回应关切机制建设情况。</w:t>
      </w:r>
      <w:r w:rsidRPr="004857FD">
        <w:rPr>
          <w:rFonts w:ascii="仿宋" w:eastAsia="仿宋" w:hAnsi="仿宋" w:cstheme="minorEastAsia" w:hint="eastAsia"/>
          <w:sz w:val="32"/>
          <w:szCs w:val="32"/>
          <w:shd w:val="clear" w:color="auto" w:fill="FFFFFF"/>
        </w:rPr>
        <w:t>我局始终将政务舆情回应工作作为单位重要工作来抓，切实履行政务舆情回应主体责任。以“收集民意、倾听民声、了解民情、解决民忧”为宗旨，以提高执行力为目的，进一步拓展与群众沟通的渠道。一是加强日常监管。对可能引发重大网络舆情的突发事件、以及各类热点敏感问题，要及时搜集掌握有关真实信息，做好应对处置准备，增强工作前瞻性和时效性；二是把握舆情研判。鼓励互联网工作人员加强理论学习、时政学习，强化舆情研判的敏锐性；三是及时处置应对。发现网络舆情后，第一时间向涉及舆情的部门了解核实情况，并根据反馈的情况做出处置；四是深入总结分析。在网络舆情被消除或趋于平稳后，要根据舆情的发生、传播和处置情况及时进行总结、梳理、反思， 对舆情发生衍变情况、调查核实情况、采取措施情况、处置效果及可能发造成的影响等多方面进行回顾，及时总结舆情处置的成效和经验，形成应对处置工作书面报告，呈送主要领导。</w:t>
      </w:r>
    </w:p>
    <w:p w:rsidR="00D65FB3" w:rsidRPr="004857FD" w:rsidRDefault="00D65FB3" w:rsidP="004857FD">
      <w:pPr>
        <w:spacing w:line="560" w:lineRule="exact"/>
        <w:ind w:firstLineChars="200" w:firstLine="643"/>
        <w:rPr>
          <w:rFonts w:ascii="仿宋" w:eastAsia="仿宋" w:hAnsi="仿宋" w:cstheme="minorEastAsia"/>
          <w:sz w:val="32"/>
          <w:szCs w:val="32"/>
        </w:rPr>
      </w:pPr>
      <w:r w:rsidRPr="004857FD">
        <w:rPr>
          <w:rFonts w:ascii="仿宋" w:eastAsia="仿宋" w:hAnsi="仿宋" w:cstheme="minorEastAsia" w:hint="eastAsia"/>
          <w:b/>
          <w:bCs/>
          <w:sz w:val="32"/>
          <w:szCs w:val="32"/>
        </w:rPr>
        <w:t>7.网站和新媒体管理情况。</w:t>
      </w:r>
      <w:r w:rsidRPr="004857FD">
        <w:rPr>
          <w:rFonts w:ascii="仿宋" w:eastAsia="仿宋" w:hAnsi="仿宋" w:cstheme="minorEastAsia" w:hint="eastAsia"/>
          <w:sz w:val="32"/>
          <w:szCs w:val="32"/>
        </w:rPr>
        <w:t>我局政务公开依托尧都区人民政府网站，局里没有设立网站和新媒体。</w:t>
      </w:r>
    </w:p>
    <w:p w:rsidR="003F54F6" w:rsidRDefault="003F54F6">
      <w:pPr>
        <w:spacing w:line="560" w:lineRule="exact"/>
        <w:ind w:firstLineChars="200" w:firstLine="643"/>
        <w:rPr>
          <w:rFonts w:ascii="楷体" w:eastAsia="楷体" w:hAnsi="楷体" w:cs="楷体"/>
          <w:b/>
          <w:bCs/>
          <w:sz w:val="32"/>
          <w:szCs w:val="32"/>
        </w:rPr>
      </w:pPr>
    </w:p>
    <w:p w:rsidR="003F54F6" w:rsidRDefault="003F54F6" w:rsidP="00D65FB3">
      <w:pPr>
        <w:spacing w:line="560" w:lineRule="exact"/>
        <w:ind w:firstLineChars="200" w:firstLine="640"/>
        <w:rPr>
          <w:rFonts w:ascii="仿宋" w:eastAsia="仿宋" w:hAnsi="仿宋" w:cs="仿宋"/>
          <w:sz w:val="32"/>
          <w:szCs w:val="32"/>
        </w:rPr>
      </w:pPr>
    </w:p>
    <w:p w:rsidR="003F54F6" w:rsidRDefault="00B10D32">
      <w:pPr>
        <w:widowControl/>
        <w:shd w:val="clear" w:color="auto" w:fill="FFFFFF"/>
        <w:ind w:firstLineChars="700" w:firstLine="2249"/>
        <w:rPr>
          <w:rFonts w:ascii="宋体" w:eastAsia="宋体" w:hAnsi="宋体" w:cs="宋体"/>
          <w:color w:val="333333"/>
          <w:kern w:val="0"/>
          <w:sz w:val="24"/>
        </w:rPr>
      </w:pPr>
      <w:bookmarkStart w:id="0" w:name="_GoBack"/>
      <w:bookmarkEnd w:id="0"/>
      <w:r>
        <w:rPr>
          <w:rFonts w:ascii="黑体" w:eastAsia="黑体" w:hAnsi="黑体" w:cs="黑体" w:hint="eastAsia"/>
          <w:b/>
          <w:bCs/>
          <w:color w:val="333333"/>
          <w:kern w:val="0"/>
          <w:sz w:val="32"/>
          <w:szCs w:val="32"/>
        </w:rPr>
        <w:t>二、主动公开政府信息情况</w:t>
      </w:r>
    </w:p>
    <w:p w:rsidR="003F54F6" w:rsidRDefault="003F54F6">
      <w:pPr>
        <w:widowControl/>
        <w:shd w:val="clear" w:color="auto" w:fill="FFFFFF"/>
        <w:ind w:firstLine="480"/>
        <w:rPr>
          <w:rFonts w:ascii="宋体" w:eastAsia="宋体" w:hAnsi="宋体" w:cs="宋体"/>
          <w:color w:val="333333"/>
          <w:kern w:val="0"/>
          <w:sz w:val="24"/>
        </w:rPr>
      </w:pPr>
    </w:p>
    <w:tbl>
      <w:tblPr>
        <w:tblW w:w="9740" w:type="dxa"/>
        <w:jc w:val="center"/>
        <w:tblCellMar>
          <w:left w:w="0" w:type="dxa"/>
          <w:right w:w="0" w:type="dxa"/>
        </w:tblCellMar>
        <w:tblLook w:val="04A0"/>
      </w:tblPr>
      <w:tblGrid>
        <w:gridCol w:w="2435"/>
        <w:gridCol w:w="2488"/>
        <w:gridCol w:w="2382"/>
        <w:gridCol w:w="2435"/>
      </w:tblGrid>
      <w:tr w:rsidR="003F54F6">
        <w:trPr>
          <w:trHeight w:val="9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第二十条第（一）项</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24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38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color w:val="000000"/>
                <w:kern w:val="0"/>
                <w:sz w:val="20"/>
                <w:szCs w:val="20"/>
              </w:rPr>
              <w:t>规章</w:t>
            </w:r>
          </w:p>
        </w:tc>
        <w:tc>
          <w:tcPr>
            <w:tcW w:w="24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Pr="00917DB2" w:rsidRDefault="00917DB2" w:rsidP="00917DB2">
            <w:pPr>
              <w:widowControl/>
              <w:jc w:val="center"/>
              <w:rPr>
                <w:rFonts w:ascii="宋体" w:eastAsia="宋体" w:hAnsi="宋体" w:cs="宋体"/>
                <w:b/>
                <w:bCs/>
                <w:kern w:val="0"/>
                <w:sz w:val="24"/>
              </w:rPr>
            </w:pPr>
            <w:r w:rsidRPr="00917DB2">
              <w:rPr>
                <w:rFonts w:ascii="宋体" w:eastAsia="宋体" w:hAnsi="宋体" w:cs="宋体" w:hint="eastAsia"/>
                <w:b/>
                <w:bCs/>
                <w:kern w:val="0"/>
                <w:sz w:val="24"/>
              </w:rPr>
              <w:t>0</w:t>
            </w:r>
          </w:p>
        </w:tc>
        <w:tc>
          <w:tcPr>
            <w:tcW w:w="2382"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917DB2" w:rsidP="00917DB2">
            <w:pPr>
              <w:widowControl/>
              <w:jc w:val="center"/>
              <w:rPr>
                <w:rFonts w:ascii="宋体" w:eastAsia="宋体" w:hAnsi="宋体" w:cs="宋体"/>
                <w:b/>
                <w:bCs/>
                <w:kern w:val="0"/>
                <w:sz w:val="24"/>
              </w:rPr>
            </w:pPr>
            <w:r>
              <w:rPr>
                <w:rFonts w:ascii="宋体" w:eastAsia="宋体" w:hAnsi="宋体" w:cs="宋体" w:hint="eastAsia"/>
                <w:b/>
                <w:bCs/>
                <w:kern w:val="0"/>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Pr="00917DB2" w:rsidRDefault="00917DB2" w:rsidP="00917DB2">
            <w:pPr>
              <w:widowControl/>
              <w:jc w:val="center"/>
              <w:rPr>
                <w:rFonts w:ascii="宋体" w:eastAsia="宋体" w:hAnsi="宋体" w:cs="宋体"/>
                <w:b/>
                <w:bCs/>
                <w:kern w:val="0"/>
                <w:sz w:val="24"/>
              </w:rPr>
            </w:pPr>
            <w:r w:rsidRPr="00917DB2">
              <w:rPr>
                <w:rFonts w:ascii="宋体" w:eastAsia="宋体" w:hAnsi="宋体" w:cs="宋体" w:hint="eastAsia"/>
                <w:b/>
                <w:bCs/>
                <w:kern w:val="0"/>
                <w:sz w:val="24"/>
              </w:rPr>
              <w:t>0</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行政规范性文件</w:t>
            </w:r>
          </w:p>
        </w:tc>
        <w:tc>
          <w:tcPr>
            <w:tcW w:w="24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917DB2">
            <w:pPr>
              <w:widowControl/>
              <w:jc w:val="center"/>
              <w:rPr>
                <w:rFonts w:ascii="宋体" w:eastAsia="宋体" w:hAnsi="宋体" w:cs="宋体"/>
                <w:b/>
                <w:bCs/>
                <w:kern w:val="0"/>
                <w:sz w:val="24"/>
              </w:rPr>
            </w:pPr>
            <w:r>
              <w:rPr>
                <w:rFonts w:ascii="宋体" w:eastAsia="宋体" w:hAnsi="宋体" w:cs="宋体" w:hint="eastAsia"/>
                <w:b/>
                <w:bCs/>
                <w:kern w:val="0"/>
                <w:sz w:val="24"/>
              </w:rPr>
              <w:t>0</w:t>
            </w:r>
          </w:p>
        </w:tc>
        <w:tc>
          <w:tcPr>
            <w:tcW w:w="2382"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Pr="00D65FB3" w:rsidRDefault="00917DB2">
            <w:pPr>
              <w:widowControl/>
              <w:jc w:val="center"/>
              <w:rPr>
                <w:rFonts w:ascii="宋体" w:eastAsia="宋体" w:hAnsi="宋体" w:cs="宋体"/>
                <w:b/>
                <w:bCs/>
                <w:kern w:val="0"/>
                <w:sz w:val="24"/>
              </w:rPr>
            </w:pPr>
            <w:r>
              <w:rPr>
                <w:rFonts w:ascii="宋体" w:eastAsia="宋体" w:hAnsi="宋体" w:cs="宋体" w:hint="eastAsia"/>
                <w:b/>
                <w:bCs/>
                <w:color w:val="000000"/>
                <w:kern w:val="0"/>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rsidP="00917DB2">
            <w:pPr>
              <w:widowControl/>
              <w:jc w:val="center"/>
              <w:rPr>
                <w:rFonts w:ascii="宋体" w:eastAsia="宋体" w:hAnsi="宋体" w:cs="宋体"/>
                <w:kern w:val="0"/>
                <w:sz w:val="24"/>
              </w:rPr>
            </w:pPr>
            <w:r>
              <w:rPr>
                <w:rFonts w:ascii="Calibri" w:eastAsia="宋体" w:hAnsi="Calibri" w:cs="宋体"/>
                <w:kern w:val="0"/>
                <w:szCs w:val="21"/>
              </w:rPr>
              <w:t> </w:t>
            </w:r>
            <w:r w:rsidR="00917DB2" w:rsidRPr="00917DB2">
              <w:rPr>
                <w:rFonts w:ascii="宋体" w:eastAsia="宋体" w:hAnsi="宋体" w:cs="宋体" w:hint="eastAsia"/>
                <w:b/>
                <w:bCs/>
                <w:kern w:val="0"/>
                <w:sz w:val="24"/>
              </w:rPr>
              <w:t>0</w:t>
            </w:r>
          </w:p>
        </w:tc>
      </w:tr>
      <w:tr w:rsidR="003F54F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第二十条第（五）项</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本年处理决定数量</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b/>
                <w:bCs/>
                <w:kern w:val="0"/>
                <w:sz w:val="24"/>
              </w:rPr>
            </w:pPr>
            <w:r>
              <w:rPr>
                <w:rFonts w:ascii="宋体" w:eastAsia="宋体" w:hAnsi="宋体" w:cs="宋体" w:hint="eastAsia"/>
                <w:b/>
                <w:bCs/>
                <w:kern w:val="0"/>
                <w:sz w:val="24"/>
              </w:rPr>
              <w:t>0</w:t>
            </w:r>
          </w:p>
        </w:tc>
      </w:tr>
      <w:tr w:rsidR="003F54F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第二十条第（六）项</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本年处理决定数量</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b/>
                <w:bCs/>
                <w:kern w:val="0"/>
                <w:sz w:val="24"/>
              </w:rPr>
            </w:pPr>
            <w:r>
              <w:rPr>
                <w:rFonts w:ascii="宋体" w:eastAsia="宋体" w:hAnsi="宋体" w:cs="宋体" w:hint="eastAsia"/>
                <w:b/>
                <w:bCs/>
                <w:kern w:val="0"/>
                <w:sz w:val="24"/>
              </w:rPr>
              <w:t>0</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b/>
                <w:bCs/>
                <w:kern w:val="0"/>
                <w:sz w:val="24"/>
              </w:rPr>
            </w:pPr>
            <w:r>
              <w:rPr>
                <w:rFonts w:ascii="宋体" w:eastAsia="宋体" w:hAnsi="宋体" w:cs="宋体" w:hint="eastAsia"/>
                <w:b/>
                <w:bCs/>
                <w:kern w:val="0"/>
                <w:sz w:val="24"/>
              </w:rPr>
              <w:t>0</w:t>
            </w:r>
          </w:p>
        </w:tc>
      </w:tr>
      <w:tr w:rsidR="003F54F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第二十条第（八）项</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本年收费金额（单位：万元）</w:t>
            </w:r>
          </w:p>
        </w:tc>
      </w:tr>
      <w:tr w:rsidR="003F54F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3F54F6" w:rsidRDefault="00B10D32">
            <w:pPr>
              <w:widowControl/>
              <w:jc w:val="center"/>
              <w:rPr>
                <w:rFonts w:ascii="宋体" w:eastAsia="宋体" w:hAnsi="宋体" w:cs="宋体"/>
                <w:b/>
                <w:bCs/>
                <w:kern w:val="0"/>
                <w:sz w:val="24"/>
              </w:rPr>
            </w:pPr>
            <w:r>
              <w:rPr>
                <w:rFonts w:ascii="宋体" w:eastAsia="宋体" w:hAnsi="宋体" w:cs="宋体" w:hint="eastAsia"/>
                <w:b/>
                <w:bCs/>
                <w:kern w:val="0"/>
                <w:sz w:val="24"/>
              </w:rPr>
              <w:t>0</w:t>
            </w:r>
          </w:p>
        </w:tc>
      </w:tr>
    </w:tbl>
    <w:p w:rsidR="003F54F6" w:rsidRDefault="00B10D32">
      <w:pPr>
        <w:widowControl/>
        <w:jc w:val="left"/>
        <w:rPr>
          <w:rFonts w:ascii="宋体" w:eastAsia="宋体" w:hAnsi="宋体" w:cs="宋体"/>
          <w:kern w:val="0"/>
          <w:sz w:val="24"/>
        </w:rPr>
      </w:pPr>
      <w:r>
        <w:rPr>
          <w:rFonts w:ascii="宋体" w:eastAsia="宋体" w:hAnsi="宋体" w:cs="宋体" w:hint="eastAsia"/>
          <w:color w:val="333333"/>
          <w:kern w:val="0"/>
          <w:sz w:val="24"/>
        </w:rPr>
        <w:br/>
      </w:r>
    </w:p>
    <w:p w:rsidR="003F54F6" w:rsidRDefault="00B10D32">
      <w:pPr>
        <w:widowControl/>
        <w:shd w:val="clear" w:color="auto" w:fill="FFFFFF"/>
        <w:ind w:firstLine="480"/>
        <w:rPr>
          <w:rFonts w:ascii="宋体" w:eastAsia="宋体" w:hAnsi="宋体" w:cs="宋体"/>
          <w:color w:val="333333"/>
          <w:kern w:val="0"/>
          <w:sz w:val="24"/>
        </w:rPr>
      </w:pPr>
      <w:r>
        <w:rPr>
          <w:rFonts w:ascii="黑体" w:eastAsia="黑体" w:hAnsi="黑体" w:cs="黑体" w:hint="eastAsia"/>
          <w:b/>
          <w:bCs/>
          <w:color w:val="333333"/>
          <w:kern w:val="0"/>
          <w:sz w:val="32"/>
          <w:szCs w:val="32"/>
        </w:rPr>
        <w:t>三、收到和处理政府信息公开申请情况</w:t>
      </w:r>
    </w:p>
    <w:p w:rsidR="003F54F6" w:rsidRDefault="003F54F6">
      <w:pPr>
        <w:widowControl/>
        <w:shd w:val="clear" w:color="auto" w:fill="FFFFFF"/>
        <w:ind w:firstLine="480"/>
        <w:rPr>
          <w:rFonts w:ascii="宋体" w:eastAsia="宋体" w:hAnsi="宋体" w:cs="宋体"/>
          <w:color w:val="333333"/>
          <w:kern w:val="0"/>
          <w:sz w:val="24"/>
        </w:rPr>
      </w:pPr>
    </w:p>
    <w:tbl>
      <w:tblPr>
        <w:tblW w:w="9748" w:type="dxa"/>
        <w:jc w:val="center"/>
        <w:tblCellMar>
          <w:left w:w="0" w:type="dxa"/>
          <w:right w:w="0" w:type="dxa"/>
        </w:tblCellMar>
        <w:tblLook w:val="04A0"/>
      </w:tblPr>
      <w:tblGrid>
        <w:gridCol w:w="768"/>
        <w:gridCol w:w="943"/>
        <w:gridCol w:w="3220"/>
        <w:gridCol w:w="688"/>
        <w:gridCol w:w="688"/>
        <w:gridCol w:w="688"/>
        <w:gridCol w:w="688"/>
        <w:gridCol w:w="688"/>
        <w:gridCol w:w="688"/>
        <w:gridCol w:w="689"/>
      </w:tblGrid>
      <w:tr w:rsidR="003F54F6">
        <w:trPr>
          <w:jc w:val="center"/>
        </w:trPr>
        <w:tc>
          <w:tcPr>
            <w:tcW w:w="4931"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3F54F6" w:rsidRDefault="00B10D32">
            <w:pPr>
              <w:widowControl/>
              <w:jc w:val="left"/>
              <w:rPr>
                <w:rFonts w:ascii="宋体" w:eastAsia="宋体" w:hAnsi="宋体" w:cs="宋体"/>
                <w:kern w:val="0"/>
                <w:sz w:val="24"/>
              </w:rPr>
            </w:pPr>
            <w:r>
              <w:rPr>
                <w:rFonts w:ascii="楷体" w:eastAsia="楷体" w:hAnsi="楷体" w:cs="宋体" w:hint="eastAsia"/>
                <w:kern w:val="0"/>
                <w:sz w:val="20"/>
                <w:szCs w:val="20"/>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申请人情况</w:t>
            </w:r>
          </w:p>
        </w:tc>
      </w:tr>
      <w:tr w:rsidR="003F54F6">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法人或其他组织</w:t>
            </w:r>
          </w:p>
        </w:tc>
        <w:tc>
          <w:tcPr>
            <w:tcW w:w="689"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总计</w:t>
            </w:r>
          </w:p>
        </w:tc>
      </w:tr>
      <w:tr w:rsidR="003F54F6">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商业</w:t>
            </w:r>
          </w:p>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科研</w:t>
            </w:r>
          </w:p>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其他</w:t>
            </w:r>
          </w:p>
        </w:tc>
        <w:tc>
          <w:tcPr>
            <w:tcW w:w="689" w:type="dxa"/>
            <w:vMerge/>
            <w:tcBorders>
              <w:top w:val="single" w:sz="8" w:space="0" w:color="auto"/>
              <w:left w:val="nil"/>
              <w:bottom w:val="inset" w:sz="8" w:space="0" w:color="auto"/>
              <w:right w:val="single" w:sz="8" w:space="0" w:color="auto"/>
            </w:tcBorders>
            <w:vAlign w:val="center"/>
          </w:tcPr>
          <w:p w:rsidR="003F54F6" w:rsidRDefault="003F54F6">
            <w:pPr>
              <w:widowControl/>
              <w:jc w:val="center"/>
              <w:rPr>
                <w:rFonts w:ascii="宋体" w:eastAsia="宋体" w:hAnsi="宋体" w:cs="宋体"/>
                <w:kern w:val="0"/>
                <w:sz w:val="24"/>
              </w:rPr>
            </w:pPr>
          </w:p>
        </w:tc>
      </w:tr>
      <w:tr w:rsidR="003F54F6">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Calibri" w:eastAsia="宋体" w:hAnsi="Calibri" w:cs="宋体"/>
                <w:kern w:val="0"/>
                <w:sz w:val="20"/>
                <w:szCs w:val="20"/>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Calibri" w:eastAsia="宋体" w:hAnsi="Calibri" w:cs="宋体"/>
                <w:kern w:val="0"/>
                <w:sz w:val="20"/>
                <w:szCs w:val="20"/>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Calibri" w:eastAsia="宋体" w:hAnsi="Calibri" w:cs="宋体"/>
                <w:kern w:val="0"/>
                <w:sz w:val="20"/>
                <w:szCs w:val="20"/>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Calibri" w:eastAsia="宋体" w:hAnsi="Calibri" w:cs="宋体"/>
                <w:kern w:val="0"/>
                <w:sz w:val="20"/>
                <w:szCs w:val="20"/>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trHeight w:val="779"/>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rPr>
                <w:rFonts w:ascii="宋体" w:eastAsia="宋体" w:hAnsi="宋体" w:cs="宋体"/>
                <w:kern w:val="0"/>
                <w:sz w:val="24"/>
              </w:rPr>
            </w:pPr>
            <w:r>
              <w:rPr>
                <w:rFonts w:ascii="宋体" w:eastAsia="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rPr>
                <w:rFonts w:ascii="宋体" w:eastAsia="宋体" w:hAnsi="宋体" w:cs="宋体"/>
                <w:kern w:val="0"/>
                <w:sz w:val="24"/>
              </w:rPr>
            </w:pPr>
            <w:r>
              <w:rPr>
                <w:rFonts w:ascii="宋体" w:eastAsia="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inset" w:sz="8" w:space="0" w:color="auto"/>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rPr>
                <w:rFonts w:ascii="宋体" w:eastAsia="宋体" w:hAnsi="宋体" w:cs="宋体"/>
                <w:kern w:val="0"/>
                <w:sz w:val="24"/>
              </w:rPr>
            </w:pPr>
            <w:r>
              <w:rPr>
                <w:rFonts w:ascii="宋体" w:eastAsia="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inset" w:sz="8" w:space="0" w:color="auto"/>
              <w:left w:val="nil"/>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3F54F6">
        <w:trPr>
          <w:jc w:val="center"/>
        </w:trPr>
        <w:tc>
          <w:tcPr>
            <w:tcW w:w="0" w:type="auto"/>
            <w:vMerge/>
            <w:tcBorders>
              <w:top w:val="nil"/>
              <w:left w:val="single" w:sz="8" w:space="0" w:color="auto"/>
              <w:bottom w:val="inset"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3F54F6" w:rsidRDefault="003F54F6">
            <w:pPr>
              <w:widowControl/>
              <w:jc w:val="center"/>
              <w:rPr>
                <w:rFonts w:ascii="宋体" w:eastAsia="宋体" w:hAnsi="宋体" w:cs="宋体"/>
                <w:kern w:val="0"/>
                <w:sz w:val="24"/>
              </w:rPr>
            </w:pPr>
          </w:p>
        </w:tc>
      </w:tr>
      <w:tr w:rsidR="003F54F6">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left"/>
              <w:rPr>
                <w:rFonts w:ascii="宋体" w:eastAsia="宋体" w:hAnsi="宋体" w:cs="宋体"/>
                <w:kern w:val="0"/>
                <w:sz w:val="24"/>
              </w:rPr>
            </w:pPr>
            <w:r>
              <w:rPr>
                <w:rFonts w:ascii="宋体" w:eastAsia="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bl>
    <w:p w:rsidR="003F54F6" w:rsidRDefault="003F54F6">
      <w:pPr>
        <w:widowControl/>
        <w:shd w:val="clear" w:color="auto" w:fill="FFFFFF"/>
        <w:jc w:val="center"/>
        <w:rPr>
          <w:rFonts w:ascii="宋体" w:eastAsia="宋体" w:hAnsi="宋体" w:cs="宋体"/>
          <w:color w:val="333333"/>
          <w:kern w:val="0"/>
          <w:sz w:val="24"/>
        </w:rPr>
      </w:pPr>
    </w:p>
    <w:p w:rsidR="003F54F6" w:rsidRDefault="00B10D32">
      <w:pPr>
        <w:widowControl/>
        <w:shd w:val="clear" w:color="auto" w:fill="FFFFFF"/>
        <w:ind w:firstLine="480"/>
        <w:rPr>
          <w:rFonts w:ascii="宋体" w:eastAsia="宋体" w:hAnsi="宋体" w:cs="宋体"/>
          <w:color w:val="333333"/>
          <w:kern w:val="0"/>
          <w:sz w:val="24"/>
        </w:rPr>
      </w:pPr>
      <w:r>
        <w:rPr>
          <w:rFonts w:ascii="黑体" w:eastAsia="黑体" w:hAnsi="黑体" w:cs="黑体" w:hint="eastAsia"/>
          <w:b/>
          <w:bCs/>
          <w:color w:val="333333"/>
          <w:kern w:val="0"/>
          <w:sz w:val="32"/>
          <w:szCs w:val="32"/>
        </w:rPr>
        <w:t>四、政府信息公开行政复议、行政诉讼情况</w:t>
      </w:r>
    </w:p>
    <w:p w:rsidR="003F54F6" w:rsidRDefault="003F54F6">
      <w:pPr>
        <w:widowControl/>
        <w:shd w:val="clear" w:color="auto" w:fill="FFFFFF"/>
        <w:jc w:val="center"/>
        <w:rPr>
          <w:rFonts w:ascii="宋体" w:eastAsia="宋体" w:hAnsi="宋体" w:cs="宋体"/>
          <w:color w:val="333333"/>
          <w:kern w:val="0"/>
          <w:sz w:val="24"/>
        </w:rPr>
      </w:pPr>
    </w:p>
    <w:tbl>
      <w:tblPr>
        <w:tblW w:w="9748" w:type="dxa"/>
        <w:jc w:val="center"/>
        <w:tblCellMar>
          <w:left w:w="0" w:type="dxa"/>
          <w:right w:w="0" w:type="dxa"/>
        </w:tblCellMar>
        <w:tblLook w:val="04A0"/>
      </w:tblPr>
      <w:tblGrid>
        <w:gridCol w:w="649"/>
        <w:gridCol w:w="649"/>
        <w:gridCol w:w="649"/>
        <w:gridCol w:w="649"/>
        <w:gridCol w:w="649"/>
        <w:gridCol w:w="649"/>
        <w:gridCol w:w="649"/>
        <w:gridCol w:w="650"/>
        <w:gridCol w:w="650"/>
        <w:gridCol w:w="650"/>
        <w:gridCol w:w="651"/>
        <w:gridCol w:w="651"/>
        <w:gridCol w:w="651"/>
        <w:gridCol w:w="651"/>
        <w:gridCol w:w="651"/>
      </w:tblGrid>
      <w:tr w:rsidR="003F54F6">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行政诉讼</w:t>
            </w:r>
          </w:p>
        </w:tc>
      </w:tr>
      <w:tr w:rsidR="003F54F6">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复议后起诉</w:t>
            </w:r>
          </w:p>
        </w:tc>
      </w:tr>
      <w:tr w:rsidR="003F54F6">
        <w:trPr>
          <w:jc w:val="center"/>
        </w:trPr>
        <w:tc>
          <w:tcPr>
            <w:tcW w:w="0" w:type="auto"/>
            <w:vMerge/>
            <w:tcBorders>
              <w:top w:val="nil"/>
              <w:left w:val="single" w:sz="8" w:space="0" w:color="auto"/>
              <w:bottom w:val="single"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nil"/>
              <w:left w:val="single" w:sz="8" w:space="0" w:color="auto"/>
              <w:bottom w:val="single"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F54F6" w:rsidRDefault="003F54F6">
            <w:pPr>
              <w:widowControl/>
              <w:jc w:val="left"/>
              <w:rPr>
                <w:rFonts w:ascii="宋体" w:eastAsia="宋体" w:hAnsi="宋体" w:cs="宋体"/>
                <w:kern w:val="0"/>
                <w:sz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宋体" w:eastAsia="宋体" w:hAnsi="宋体" w:cs="宋体" w:hint="eastAsia"/>
                <w:color w:val="000000"/>
                <w:kern w:val="0"/>
                <w:sz w:val="20"/>
                <w:szCs w:val="20"/>
              </w:rPr>
              <w:t>总计</w:t>
            </w:r>
          </w:p>
        </w:tc>
      </w:tr>
      <w:tr w:rsidR="003F54F6">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4F6" w:rsidRDefault="00B10D32">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bl>
    <w:p w:rsidR="003F54F6" w:rsidRPr="004857FD" w:rsidRDefault="00B10D32">
      <w:pPr>
        <w:widowControl/>
        <w:ind w:firstLineChars="200" w:firstLine="640"/>
        <w:jc w:val="left"/>
        <w:rPr>
          <w:rFonts w:ascii="黑体" w:eastAsia="黑体" w:hAnsi="黑体" w:cs="宋体"/>
          <w:bCs/>
          <w:kern w:val="0"/>
          <w:sz w:val="32"/>
          <w:szCs w:val="32"/>
        </w:rPr>
      </w:pPr>
      <w:r w:rsidRPr="004857FD">
        <w:rPr>
          <w:rFonts w:ascii="黑体" w:eastAsia="黑体" w:hAnsi="黑体" w:cs="宋体" w:hint="eastAsia"/>
          <w:bCs/>
          <w:kern w:val="0"/>
          <w:sz w:val="32"/>
          <w:szCs w:val="32"/>
        </w:rPr>
        <w:t>五、存在的主要问题及改进情况</w:t>
      </w:r>
    </w:p>
    <w:p w:rsidR="0008489F" w:rsidRPr="004857FD" w:rsidRDefault="00B10D32" w:rsidP="004857FD">
      <w:pPr>
        <w:widowControl/>
        <w:autoSpaceDE w:val="0"/>
        <w:spacing w:line="560" w:lineRule="exact"/>
        <w:ind w:firstLineChars="200" w:firstLine="643"/>
        <w:jc w:val="left"/>
        <w:rPr>
          <w:rFonts w:ascii="楷体" w:eastAsia="楷体" w:hAnsi="楷体" w:cs="宋体"/>
          <w:b/>
          <w:kern w:val="0"/>
          <w:sz w:val="32"/>
          <w:szCs w:val="32"/>
        </w:rPr>
      </w:pPr>
      <w:r w:rsidRPr="004857FD">
        <w:rPr>
          <w:rFonts w:ascii="楷体" w:eastAsia="楷体" w:hAnsi="楷体" w:cs="宋体" w:hint="eastAsia"/>
          <w:b/>
          <w:kern w:val="0"/>
          <w:sz w:val="32"/>
          <w:szCs w:val="32"/>
        </w:rPr>
        <w:t>（一）存在的主要问题</w:t>
      </w:r>
    </w:p>
    <w:p w:rsidR="0008489F" w:rsidRPr="004857FD" w:rsidRDefault="0008489F" w:rsidP="0008489F">
      <w:pPr>
        <w:widowControl/>
        <w:autoSpaceDE w:val="0"/>
        <w:spacing w:line="560" w:lineRule="exact"/>
        <w:ind w:firstLineChars="200" w:firstLine="640"/>
        <w:jc w:val="left"/>
        <w:rPr>
          <w:rFonts w:ascii="仿宋" w:eastAsia="仿宋" w:hAnsi="仿宋" w:cstheme="minorEastAsia"/>
          <w:sz w:val="32"/>
          <w:szCs w:val="32"/>
        </w:rPr>
      </w:pPr>
      <w:r w:rsidRPr="004857FD">
        <w:rPr>
          <w:rFonts w:ascii="仿宋" w:eastAsia="仿宋" w:hAnsi="仿宋" w:cstheme="minorEastAsia" w:hint="eastAsia"/>
          <w:sz w:val="32"/>
          <w:szCs w:val="32"/>
        </w:rPr>
        <w:t>1.个别信息公开不够及时，有待进一步完善。</w:t>
      </w:r>
    </w:p>
    <w:p w:rsidR="0008489F" w:rsidRPr="004857FD" w:rsidRDefault="0008489F" w:rsidP="0008489F">
      <w:pPr>
        <w:spacing w:line="560" w:lineRule="exact"/>
        <w:ind w:firstLineChars="200" w:firstLine="640"/>
        <w:rPr>
          <w:rFonts w:ascii="仿宋" w:eastAsia="仿宋" w:hAnsi="仿宋" w:cstheme="minorEastAsia"/>
          <w:sz w:val="32"/>
          <w:szCs w:val="32"/>
        </w:rPr>
      </w:pPr>
      <w:r w:rsidRPr="004857FD">
        <w:rPr>
          <w:rFonts w:ascii="仿宋" w:eastAsia="仿宋" w:hAnsi="仿宋" w:cstheme="minorEastAsia" w:hint="eastAsia"/>
          <w:sz w:val="32"/>
          <w:szCs w:val="32"/>
        </w:rPr>
        <w:t>2.政府信息公开工作具体承办人员对相关条例、制度的学习有待进一步加强。</w:t>
      </w:r>
    </w:p>
    <w:p w:rsidR="0008489F" w:rsidRPr="004857FD" w:rsidRDefault="0008489F" w:rsidP="004857FD">
      <w:pPr>
        <w:spacing w:line="560" w:lineRule="exact"/>
        <w:ind w:firstLineChars="200" w:firstLine="643"/>
        <w:rPr>
          <w:rFonts w:ascii="楷体" w:eastAsia="楷体" w:hAnsi="楷体" w:cstheme="minorEastAsia"/>
          <w:b/>
          <w:bCs/>
          <w:sz w:val="32"/>
          <w:szCs w:val="32"/>
        </w:rPr>
      </w:pPr>
      <w:r w:rsidRPr="004857FD">
        <w:rPr>
          <w:rFonts w:ascii="楷体" w:eastAsia="楷体" w:hAnsi="楷体" w:cstheme="minorEastAsia" w:hint="eastAsia"/>
          <w:b/>
          <w:bCs/>
          <w:sz w:val="32"/>
          <w:szCs w:val="32"/>
        </w:rPr>
        <w:t>（二）改进措施</w:t>
      </w:r>
    </w:p>
    <w:p w:rsidR="0008489F" w:rsidRPr="004857FD" w:rsidRDefault="0008489F" w:rsidP="0008489F">
      <w:pPr>
        <w:spacing w:line="560" w:lineRule="exact"/>
        <w:ind w:firstLineChars="200" w:firstLine="640"/>
        <w:rPr>
          <w:rFonts w:ascii="仿宋" w:eastAsia="仿宋" w:hAnsi="仿宋" w:cstheme="minorEastAsia"/>
          <w:sz w:val="32"/>
          <w:szCs w:val="32"/>
        </w:rPr>
      </w:pPr>
      <w:r w:rsidRPr="004857FD">
        <w:rPr>
          <w:rFonts w:ascii="仿宋" w:eastAsia="仿宋" w:hAnsi="仿宋" w:cstheme="minorEastAsia" w:hint="eastAsia"/>
          <w:sz w:val="32"/>
          <w:szCs w:val="32"/>
        </w:rPr>
        <w:t>1.加强业务学习，增强公开意识。 进一步加强学习。加强</w:t>
      </w:r>
      <w:r w:rsidRPr="004857FD">
        <w:rPr>
          <w:rFonts w:ascii="仿宋" w:eastAsia="仿宋" w:hAnsi="仿宋" w:cstheme="minorEastAsia" w:hint="eastAsia"/>
          <w:kern w:val="0"/>
          <w:sz w:val="32"/>
          <w:szCs w:val="32"/>
        </w:rPr>
        <w:lastRenderedPageBreak/>
        <w:t>政务信息公开工作制度、办法的</w:t>
      </w:r>
      <w:r w:rsidRPr="004857FD">
        <w:rPr>
          <w:rFonts w:ascii="仿宋" w:eastAsia="仿宋" w:hAnsi="仿宋" w:cstheme="minorEastAsia" w:hint="eastAsia"/>
          <w:sz w:val="32"/>
          <w:szCs w:val="32"/>
        </w:rPr>
        <w:t>教育培训</w:t>
      </w:r>
      <w:r w:rsidRPr="004857FD">
        <w:rPr>
          <w:rFonts w:ascii="仿宋" w:eastAsia="仿宋" w:hAnsi="仿宋" w:cstheme="minorEastAsia" w:hint="eastAsia"/>
          <w:kern w:val="0"/>
          <w:sz w:val="32"/>
          <w:szCs w:val="32"/>
        </w:rPr>
        <w:t>，</w:t>
      </w:r>
      <w:r w:rsidRPr="004857FD">
        <w:rPr>
          <w:rFonts w:ascii="仿宋" w:eastAsia="仿宋" w:hAnsi="仿宋" w:cstheme="minorEastAsia" w:hint="eastAsia"/>
          <w:sz w:val="32"/>
          <w:szCs w:val="32"/>
        </w:rPr>
        <w:t>学习关于政务公开的新要求、新提法、新概念，提高工作的积极性和主动性。</w:t>
      </w:r>
      <w:r w:rsidRPr="004857FD">
        <w:rPr>
          <w:rFonts w:ascii="仿宋" w:eastAsia="仿宋" w:hAnsi="仿宋" w:cstheme="minorEastAsia" w:hint="eastAsia"/>
          <w:kern w:val="0"/>
          <w:sz w:val="32"/>
          <w:szCs w:val="32"/>
        </w:rPr>
        <w:t>促进广大干部进一步领会和贯彻落实信息公开要求，不断</w:t>
      </w:r>
      <w:r w:rsidRPr="004857FD">
        <w:rPr>
          <w:rFonts w:ascii="仿宋" w:eastAsia="仿宋" w:hAnsi="仿宋" w:cstheme="minorEastAsia" w:hint="eastAsia"/>
          <w:sz w:val="32"/>
          <w:szCs w:val="32"/>
        </w:rPr>
        <w:t>增强公开意识，提高公开能力，从而</w:t>
      </w:r>
      <w:r w:rsidRPr="004857FD">
        <w:rPr>
          <w:rFonts w:ascii="仿宋" w:eastAsia="仿宋" w:hAnsi="仿宋" w:cstheme="minorEastAsia" w:hint="eastAsia"/>
          <w:kern w:val="0"/>
          <w:sz w:val="32"/>
          <w:szCs w:val="32"/>
        </w:rPr>
        <w:t>提高政府信息公开工作的质量和水平。</w:t>
      </w:r>
    </w:p>
    <w:p w:rsidR="0008489F" w:rsidRPr="004857FD" w:rsidRDefault="0008489F" w:rsidP="0008489F">
      <w:pPr>
        <w:pStyle w:val="a3"/>
        <w:adjustRightInd w:val="0"/>
        <w:snapToGrid w:val="0"/>
        <w:spacing w:line="560" w:lineRule="exact"/>
        <w:ind w:firstLineChars="200" w:firstLine="640"/>
        <w:jc w:val="left"/>
        <w:rPr>
          <w:rFonts w:ascii="仿宋" w:eastAsia="仿宋" w:hAnsi="仿宋" w:cstheme="minorEastAsia"/>
          <w:sz w:val="32"/>
          <w:szCs w:val="32"/>
        </w:rPr>
      </w:pPr>
      <w:r w:rsidRPr="004857FD">
        <w:rPr>
          <w:rFonts w:ascii="仿宋" w:eastAsia="仿宋" w:hAnsi="仿宋" w:cstheme="minorEastAsia" w:hint="eastAsia"/>
          <w:sz w:val="32"/>
          <w:szCs w:val="32"/>
        </w:rPr>
        <w:t>2.深化公开内容，提高公开效能。</w:t>
      </w:r>
      <w:r w:rsidRPr="004857FD">
        <w:rPr>
          <w:rFonts w:ascii="仿宋" w:eastAsia="仿宋" w:hAnsi="仿宋" w:cstheme="minorEastAsia" w:hint="eastAsia"/>
          <w:sz w:val="32"/>
          <w:szCs w:val="32"/>
          <w:shd w:val="clear" w:color="auto" w:fill="FFFFFF"/>
        </w:rPr>
        <w:t>进一步充实政务公开的内容，扩大公开的范围，对群众普遍关心和涉及群众切身利益的实际问题及时公开。</w:t>
      </w:r>
      <w:r w:rsidRPr="004857FD">
        <w:rPr>
          <w:rFonts w:ascii="仿宋" w:eastAsia="仿宋" w:hAnsi="仿宋" w:cstheme="minorEastAsia" w:hint="eastAsia"/>
          <w:sz w:val="32"/>
          <w:szCs w:val="32"/>
        </w:rPr>
        <w:t>通过对政务信息认真梳理，加强基层调研，对于社会公众关注的经济发展热点、重点信息及时更新，切实保证信息公开的完整性、准确性和时效性。</w:t>
      </w:r>
    </w:p>
    <w:p w:rsidR="0008489F" w:rsidRPr="004857FD" w:rsidRDefault="0008489F" w:rsidP="0008489F">
      <w:pPr>
        <w:spacing w:line="560" w:lineRule="exact"/>
        <w:ind w:firstLineChars="150" w:firstLine="480"/>
        <w:rPr>
          <w:rFonts w:ascii="仿宋" w:eastAsia="仿宋" w:hAnsi="仿宋" w:cstheme="minorEastAsia"/>
          <w:sz w:val="32"/>
          <w:szCs w:val="32"/>
        </w:rPr>
      </w:pPr>
      <w:r w:rsidRPr="004857FD">
        <w:rPr>
          <w:rFonts w:ascii="仿宋" w:eastAsia="仿宋" w:hAnsi="仿宋" w:cstheme="minorEastAsia" w:hint="eastAsia"/>
          <w:sz w:val="32"/>
          <w:szCs w:val="32"/>
        </w:rPr>
        <w:t xml:space="preserve"> 3.落实保密要求，强化监督检查。深入贯彻落实国家有关保密法律法规及区政府有关政府信息公开保密审查文件要求，强化对政府信息公开保密审查工作的监督检查，坚决杜绝失泄密事件的发生，在确保国家秘密安全的情况下，有力推进政府信息公开工作。</w:t>
      </w:r>
    </w:p>
    <w:p w:rsidR="003F54F6" w:rsidRPr="004857FD" w:rsidRDefault="00B10D32" w:rsidP="0008489F">
      <w:pPr>
        <w:spacing w:line="560" w:lineRule="exact"/>
        <w:ind w:firstLineChars="150" w:firstLine="480"/>
        <w:rPr>
          <w:rFonts w:ascii="黑体" w:eastAsia="黑体" w:hAnsi="黑体" w:cstheme="minorEastAsia"/>
          <w:sz w:val="32"/>
          <w:szCs w:val="32"/>
        </w:rPr>
      </w:pPr>
      <w:r w:rsidRPr="004857FD">
        <w:rPr>
          <w:rFonts w:ascii="黑体" w:eastAsia="黑体" w:hAnsi="黑体" w:cs="黑体" w:hint="eastAsia"/>
          <w:sz w:val="32"/>
          <w:szCs w:val="32"/>
        </w:rPr>
        <w:t>六、其他需要报告的事项</w:t>
      </w:r>
    </w:p>
    <w:p w:rsidR="003F54F6" w:rsidRDefault="00B10D32" w:rsidP="0021297E">
      <w:pPr>
        <w:spacing w:line="560" w:lineRule="exact"/>
        <w:ind w:firstLineChars="200" w:firstLine="640"/>
        <w:rPr>
          <w:rFonts w:ascii="仿宋" w:eastAsia="仿宋" w:hAnsi="仿宋" w:cs="仿宋"/>
          <w:sz w:val="32"/>
          <w:szCs w:val="32"/>
        </w:rPr>
      </w:pPr>
      <w:r>
        <w:rPr>
          <w:rFonts w:ascii="仿宋" w:eastAsia="仿宋" w:hAnsi="仿宋" w:cs="仿宋" w:hint="eastAsia"/>
          <w:bCs/>
          <w:kern w:val="0"/>
          <w:sz w:val="32"/>
          <w:szCs w:val="32"/>
        </w:rPr>
        <w:t>无</w:t>
      </w:r>
    </w:p>
    <w:sectPr w:rsidR="003F54F6" w:rsidSect="003F54F6">
      <w:pgSz w:w="11906" w:h="16838"/>
      <w:pgMar w:top="1440" w:right="129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DE" w:rsidRDefault="004915DE" w:rsidP="006347B0">
      <w:r>
        <w:separator/>
      </w:r>
    </w:p>
  </w:endnote>
  <w:endnote w:type="continuationSeparator" w:id="0">
    <w:p w:rsidR="004915DE" w:rsidRDefault="004915DE" w:rsidP="00634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DE" w:rsidRDefault="004915DE" w:rsidP="006347B0">
      <w:r>
        <w:separator/>
      </w:r>
    </w:p>
  </w:footnote>
  <w:footnote w:type="continuationSeparator" w:id="0">
    <w:p w:rsidR="004915DE" w:rsidRDefault="004915DE" w:rsidP="006347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QxZjI5MzE0YjJiMTg1ZjI2OWY4MjY1NmNiZTUwMDEifQ=="/>
  </w:docVars>
  <w:rsids>
    <w:rsidRoot w:val="32992B74"/>
    <w:rsid w:val="0008489F"/>
    <w:rsid w:val="00156573"/>
    <w:rsid w:val="001D35D0"/>
    <w:rsid w:val="0021297E"/>
    <w:rsid w:val="00233367"/>
    <w:rsid w:val="002E0921"/>
    <w:rsid w:val="00336C64"/>
    <w:rsid w:val="003F54F6"/>
    <w:rsid w:val="00464CB4"/>
    <w:rsid w:val="004857FD"/>
    <w:rsid w:val="004915DE"/>
    <w:rsid w:val="005E030B"/>
    <w:rsid w:val="006347B0"/>
    <w:rsid w:val="00917DB2"/>
    <w:rsid w:val="00920D4C"/>
    <w:rsid w:val="00983D01"/>
    <w:rsid w:val="009A25DF"/>
    <w:rsid w:val="009B7FF2"/>
    <w:rsid w:val="00A042E3"/>
    <w:rsid w:val="00A34740"/>
    <w:rsid w:val="00B10D32"/>
    <w:rsid w:val="00B645AA"/>
    <w:rsid w:val="00CB6B8B"/>
    <w:rsid w:val="00D162FE"/>
    <w:rsid w:val="00D65FB3"/>
    <w:rsid w:val="00DC3DB6"/>
    <w:rsid w:val="00E03312"/>
    <w:rsid w:val="00F736FD"/>
    <w:rsid w:val="049B273F"/>
    <w:rsid w:val="06C8268E"/>
    <w:rsid w:val="09975029"/>
    <w:rsid w:val="0B7F172C"/>
    <w:rsid w:val="0DB01C29"/>
    <w:rsid w:val="0E1C3D4F"/>
    <w:rsid w:val="138046D5"/>
    <w:rsid w:val="15724781"/>
    <w:rsid w:val="16AE750E"/>
    <w:rsid w:val="1A046F6A"/>
    <w:rsid w:val="1C2F10F1"/>
    <w:rsid w:val="1E0D09B2"/>
    <w:rsid w:val="21025026"/>
    <w:rsid w:val="217D645B"/>
    <w:rsid w:val="23CF178A"/>
    <w:rsid w:val="24FD7FDE"/>
    <w:rsid w:val="2713111B"/>
    <w:rsid w:val="27EB6814"/>
    <w:rsid w:val="2AF8539D"/>
    <w:rsid w:val="2C0B1233"/>
    <w:rsid w:val="2E1819E5"/>
    <w:rsid w:val="2E4C670C"/>
    <w:rsid w:val="2EE713B8"/>
    <w:rsid w:val="302D68F5"/>
    <w:rsid w:val="32992B74"/>
    <w:rsid w:val="351975ED"/>
    <w:rsid w:val="37B57156"/>
    <w:rsid w:val="387F5CCC"/>
    <w:rsid w:val="38F96DDD"/>
    <w:rsid w:val="3AB94550"/>
    <w:rsid w:val="3BF44C93"/>
    <w:rsid w:val="3D221248"/>
    <w:rsid w:val="41D27865"/>
    <w:rsid w:val="43E02B4D"/>
    <w:rsid w:val="45B73D33"/>
    <w:rsid w:val="460169BE"/>
    <w:rsid w:val="46095D75"/>
    <w:rsid w:val="46641814"/>
    <w:rsid w:val="468C2BB6"/>
    <w:rsid w:val="4927547C"/>
    <w:rsid w:val="4972452F"/>
    <w:rsid w:val="4C001FDF"/>
    <w:rsid w:val="4CDB20B3"/>
    <w:rsid w:val="4CF3744D"/>
    <w:rsid w:val="4F263EA4"/>
    <w:rsid w:val="4F693DE7"/>
    <w:rsid w:val="50DE050E"/>
    <w:rsid w:val="51062CF9"/>
    <w:rsid w:val="51AD5E69"/>
    <w:rsid w:val="56273982"/>
    <w:rsid w:val="56C84EAF"/>
    <w:rsid w:val="580C5FE9"/>
    <w:rsid w:val="59F8251E"/>
    <w:rsid w:val="5E621C29"/>
    <w:rsid w:val="5F4B136B"/>
    <w:rsid w:val="60CE4002"/>
    <w:rsid w:val="6A0B1E23"/>
    <w:rsid w:val="6A22716C"/>
    <w:rsid w:val="6A640F4E"/>
    <w:rsid w:val="6B97483B"/>
    <w:rsid w:val="6DA35E75"/>
    <w:rsid w:val="6E453429"/>
    <w:rsid w:val="6F5B1156"/>
    <w:rsid w:val="70147557"/>
    <w:rsid w:val="7246656C"/>
    <w:rsid w:val="744934AE"/>
    <w:rsid w:val="7608402A"/>
    <w:rsid w:val="768E0063"/>
    <w:rsid w:val="77866AAE"/>
    <w:rsid w:val="78915BE9"/>
    <w:rsid w:val="7A15284A"/>
    <w:rsid w:val="7A34604F"/>
    <w:rsid w:val="7B1211B1"/>
    <w:rsid w:val="7B2F13F8"/>
    <w:rsid w:val="7E8A7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4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F54F6"/>
    <w:rPr>
      <w:sz w:val="24"/>
    </w:rPr>
  </w:style>
  <w:style w:type="table" w:customStyle="1" w:styleId="TableNormal">
    <w:name w:val="Table Normal"/>
    <w:semiHidden/>
    <w:unhideWhenUsed/>
    <w:qFormat/>
    <w:rsid w:val="003F54F6"/>
    <w:tblPr>
      <w:tblCellMar>
        <w:top w:w="0" w:type="dxa"/>
        <w:left w:w="0" w:type="dxa"/>
        <w:bottom w:w="0" w:type="dxa"/>
        <w:right w:w="0" w:type="dxa"/>
      </w:tblCellMar>
    </w:tblPr>
  </w:style>
  <w:style w:type="paragraph" w:styleId="a4">
    <w:name w:val="header"/>
    <w:basedOn w:val="a"/>
    <w:link w:val="Char"/>
    <w:rsid w:val="006347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347B0"/>
    <w:rPr>
      <w:kern w:val="2"/>
      <w:sz w:val="18"/>
      <w:szCs w:val="18"/>
    </w:rPr>
  </w:style>
  <w:style w:type="paragraph" w:styleId="a5">
    <w:name w:val="footer"/>
    <w:basedOn w:val="a"/>
    <w:link w:val="Char0"/>
    <w:rsid w:val="006347B0"/>
    <w:pPr>
      <w:tabs>
        <w:tab w:val="center" w:pos="4153"/>
        <w:tab w:val="right" w:pos="8306"/>
      </w:tabs>
      <w:snapToGrid w:val="0"/>
      <w:jc w:val="left"/>
    </w:pPr>
    <w:rPr>
      <w:sz w:val="18"/>
      <w:szCs w:val="18"/>
    </w:rPr>
  </w:style>
  <w:style w:type="character" w:customStyle="1" w:styleId="Char0">
    <w:name w:val="页脚 Char"/>
    <w:basedOn w:val="a0"/>
    <w:link w:val="a5"/>
    <w:rsid w:val="006347B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Administrator</cp:lastModifiedBy>
  <cp:revision>2</cp:revision>
  <cp:lastPrinted>2023-01-17T02:18:00Z</cp:lastPrinted>
  <dcterms:created xsi:type="dcterms:W3CDTF">2023-01-29T09:08:00Z</dcterms:created>
  <dcterms:modified xsi:type="dcterms:W3CDTF">2023-01-29T09:08:00Z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0CEED9DB96C1459BACFB99060BB74CEB</vt:lpwstr>
  </property>
</Properties>
</file>