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</w:rPr>
        <w:t>尧都区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eastAsia="zh-CN"/>
        </w:rPr>
        <w:t>人力资源和社会保障局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，在区委、区政府的坚强领导下，我局根据《中华人民共和国政府信息公开条例》和尧都区人民政府办公室的有关要求，结合人社工作实际，扎实推进政府信息公开，完善公开内容，强化依法行政，规范行政行为，提高行政效能，自觉接受社会和群众的监督，政府信息公开工作取得了一定成绩。现将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我局高度重视政府信息公开工作，指定专门科室、责成专门人员开展本单位政府信息公开工作，并将政府信息公开工作与日常工作相结合，齐头并进，确保了政府信息公开工作机构健全，工作明晰，责任到人。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cs="Arial"/>
          <w:color w:val="404040"/>
          <w:szCs w:val="21"/>
        </w:rPr>
        <w:t>　</w:t>
      </w:r>
      <w:r>
        <w:rPr>
          <w:rFonts w:hint="eastAsia" w:ascii="仿宋_GB2312" w:eastAsia="仿宋_GB2312"/>
          <w:sz w:val="32"/>
          <w:szCs w:val="32"/>
        </w:rPr>
        <w:t>我局主要通过党务政务公开栏、电子显示屏、电视台、宣传专栏等形式，主动公开各类政府信息、人社政策法规、工作动态</w:t>
      </w:r>
      <w:r>
        <w:rPr>
          <w:rFonts w:hint="eastAsia" w:ascii="仿宋_GB2312" w:eastAsia="仿宋_GB2312"/>
          <w:sz w:val="32"/>
          <w:szCs w:val="32"/>
          <w:lang w:eastAsia="zh-CN"/>
        </w:rPr>
        <w:t>、“互联网＋监管”事项，不断完善公共服务事项清单，</w:t>
      </w:r>
      <w:r>
        <w:rPr>
          <w:rFonts w:hint="eastAsia" w:ascii="仿宋_GB2312" w:eastAsia="仿宋_GB2312"/>
          <w:sz w:val="32"/>
          <w:szCs w:val="32"/>
        </w:rPr>
        <w:t>为广大群众提供了便民、利民、为民的信息查询服务，受到了社会各界的好评。</w:t>
      </w:r>
      <w:r>
        <w:rPr>
          <w:rFonts w:hint="eastAsia" w:ascii="仿宋_GB2312" w:eastAsia="仿宋_GB2312"/>
          <w:color w:val="auto"/>
          <w:sz w:val="32"/>
          <w:szCs w:val="32"/>
        </w:rPr>
        <w:t>一年来，我们共主动公开信息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854</w:t>
      </w:r>
      <w:r>
        <w:rPr>
          <w:rFonts w:hint="eastAsia" w:ascii="仿宋_GB2312" w:eastAsia="仿宋_GB2312"/>
          <w:color w:val="auto"/>
          <w:sz w:val="32"/>
          <w:szCs w:val="32"/>
        </w:rPr>
        <w:t>条，其中，工作动态类信息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430</w:t>
      </w:r>
      <w:r>
        <w:rPr>
          <w:rFonts w:hint="eastAsia" w:ascii="仿宋_GB2312" w:eastAsia="仿宋_GB2312"/>
          <w:color w:val="auto"/>
          <w:sz w:val="32"/>
          <w:szCs w:val="32"/>
        </w:rPr>
        <w:t>条；政策法规类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424</w:t>
      </w:r>
      <w:r>
        <w:rPr>
          <w:rFonts w:hint="eastAsia" w:ascii="仿宋_GB2312" w:eastAsia="仿宋_GB2312"/>
          <w:color w:val="auto"/>
          <w:sz w:val="32"/>
          <w:szCs w:val="32"/>
        </w:rPr>
        <w:t>条。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全年共举办53场招聘会，其中线上发布招聘信息15期，共有180家企业参加招聘活动，提供就业岗位7558个，达成就业意向1213人。</w:t>
      </w:r>
      <w:r>
        <w:rPr>
          <w:rFonts w:hint="eastAsia" w:ascii="仿宋_GB2312" w:eastAsia="仿宋_GB2312"/>
          <w:color w:val="auto"/>
          <w:sz w:val="32"/>
          <w:szCs w:val="32"/>
        </w:rPr>
        <w:t>共接受社会公众上门或电话咨询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15万</w:t>
      </w:r>
      <w:r>
        <w:rPr>
          <w:rFonts w:hint="eastAsia" w:ascii="仿宋_GB2312" w:eastAsia="仿宋_GB2312"/>
          <w:color w:val="auto"/>
          <w:sz w:val="32"/>
          <w:szCs w:val="32"/>
        </w:rPr>
        <w:t>余人次，咨询的内容主要包括就业、社会保险、劳动保障监察、人事考试、职称评聘、档案寄存、劳动人事仲裁等方面。这些问题涉及哪个股室，由哪个股室负责答复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，我局政府信息公开工作虽然取得了一定成绩，有了新的进展，但与《条例》的要求和公众的需求还存在差距，特别是在信息公开的全面性、时效性，以及公众获得信息的方便性等方面还需要加强。针对工作中存在问题和不足，我们将加大信息公开工作的宣传力度，让社会更多地了解人社工作，了解人社信息公开渠道，使人社信息更好地服务于民众和社会；进一步贴近社会需求，丰富政府信息公开内容；进一步完善政府信息公开各项工作制度，提高信息公开工作人员的业务素质，提升人社系统政府信息公开整体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92B74"/>
    <w:rsid w:val="2713111B"/>
    <w:rsid w:val="2AF8539D"/>
    <w:rsid w:val="2E4C670C"/>
    <w:rsid w:val="32992B74"/>
    <w:rsid w:val="4F263EA4"/>
    <w:rsid w:val="4F693DE7"/>
    <w:rsid w:val="5E621C29"/>
    <w:rsid w:val="60805E1E"/>
    <w:rsid w:val="7246656C"/>
    <w:rsid w:val="744934AE"/>
    <w:rsid w:val="79FF1BD6"/>
    <w:rsid w:val="7A34604F"/>
    <w:rsid w:val="7EDD2444"/>
    <w:rsid w:val="9FCFD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2022-01-20T00:36:00Z</dcterms:created>
  <dc:creator>Zoe</dc:creator>
  <cp:lastModifiedBy>baixin</cp:lastModifiedBy>
  <cp:lastPrinted>2022-01-26T17:37:00Z</cp:lastPrinted>
  <dcterms:modified xsi:type="dcterms:W3CDTF">2022-02-26T16:29:34Z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0CEED9DB96C1459BACFB99060BB74CEB</vt:lpwstr>
  </property>
</Properties>
</file>