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  <w:t>尧都区市场监督管理局</w:t>
      </w:r>
    </w:p>
    <w:p>
      <w:pPr>
        <w:pStyle w:val="3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spacing w:line="60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2021年，区市场监督管理局严格按照《中华人民共和国政府信息公开条例》有关要求，认真贯彻落实区委、区政府关于政府信息公开工作的部署，围绕重点工作和人民群众关注热点，遵循“公开、公平、便民”的原则，逐步提升政务公开质量和实效，不断提高社会各界对市场监管工作的知悉率和满意度。现将工作情况总结如下： </w:t>
      </w:r>
    </w:p>
    <w:p>
      <w:pPr>
        <w:spacing w:line="600" w:lineRule="exact"/>
        <w:ind w:firstLine="640" w:firstLineChars="200"/>
        <w:rPr>
          <w:rFonts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spacing w:line="600" w:lineRule="exact"/>
        <w:ind w:firstLine="640" w:firstLineChars="200"/>
        <w:rPr>
          <w:rFonts w:hint="eastAsia" w:asci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</w:rPr>
        <w:t>强化组织领导，不断夯实工作基础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局坚持深化政务公开工作，根据工作需要，及时调整政务公开领导小组，形成了“一把手”负总责、分管领导亲自抓、各科室具体抓的工作格局，做到了领导、机构、人员“三到位”，并严格落实“谁分管、谁负责”“谁出问题、追究谁”的问责机制，大力推进政务公开工作向纵深发展。</w:t>
      </w:r>
    </w:p>
    <w:p>
      <w:pPr>
        <w:spacing w:line="600" w:lineRule="exact"/>
        <w:ind w:firstLine="640" w:firstLineChars="200"/>
        <w:rPr>
          <w:rFonts w:hint="eastAsia" w:asci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</w:rPr>
        <w:t>主要工作情况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asci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做好主动公开。</w:t>
      </w:r>
      <w:r>
        <w:rPr>
          <w:rFonts w:hint="eastAsia" w:ascii="仿宋_GB2312" w:eastAsia="仿宋_GB2312" w:cs="仿宋_GB2312"/>
          <w:sz w:val="32"/>
          <w:szCs w:val="32"/>
        </w:rPr>
        <w:t>按照区政务公开工作相关要求，在梳理公开目录的基础上，坚持以公开为常态、不公开为例外的原则，主动公开行政权力运行、财政资金管理使用、决策部署落实等目录内容。此外，深入推进重点领域公开力度，结合市场监管职能，针对群众关心关切的食品药品安全、产品质量监管、消费维权、价格监管等民生问题，不断强化回应关切。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规范依申请公开。</w:t>
      </w:r>
      <w:r>
        <w:rPr>
          <w:rFonts w:hint="eastAsia" w:ascii="仿宋_GB2312" w:eastAsia="仿宋_GB2312" w:cs="仿宋_GB2312"/>
          <w:sz w:val="32"/>
          <w:szCs w:val="32"/>
        </w:rPr>
        <w:t>积极与区信息中心对接，进一步规范全局依申请公开工作受理、办理、回复环节，对依申请公开信息，坚持能公开的依法公开,不能公开的耐心解释并说明具体理由。全年未发生因政府信息公开申请行政复议、提起行政诉讼情况。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asci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全面推进“放管服”公开工作。</w:t>
      </w:r>
      <w:r>
        <w:rPr>
          <w:rFonts w:hint="eastAsia" w:ascii="仿宋_GB2312" w:eastAsia="仿宋_GB2312" w:cs="仿宋_GB2312"/>
          <w:sz w:val="32"/>
          <w:szCs w:val="32"/>
        </w:rPr>
        <w:t>持续深化“放管服”改革。深入推进“证照分离”改革，推广个体工商户登记“秒批”。办理个体工商户登记业务6600 户，2021年个体工商户登记比去年增加了18.6%；强化事中事后监管。以提升监管效能为宗旨，扎实开展“双随机、一公开”监管工作。完成省、市局委托、部门联合及内设科室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eastAsia="仿宋_GB2312" w:cs="仿宋_GB2312"/>
          <w:sz w:val="32"/>
          <w:szCs w:val="32"/>
        </w:rPr>
        <w:t>任务1267户，抽查结果公示率100%。认真做好企业年报。应年报企业17454户，已年报企业16707户，将未年报企业、个体户、农民专业合作社（2020年度）21484 户批量列入经营异常名录。办理移出经营异常名录167 余户，办理企业联络员变更 43 户。对未年报企业1816户进行立案调查，有力维护了合法经营，保障市场正常经营秩序。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asci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深入开展政策解读。</w:t>
      </w:r>
      <w:r>
        <w:rPr>
          <w:rFonts w:hint="eastAsia" w:ascii="仿宋_GB2312" w:eastAsia="仿宋_GB2312" w:cs="仿宋_GB2312"/>
          <w:sz w:val="32"/>
          <w:szCs w:val="32"/>
        </w:rPr>
        <w:t>紧紧围绕中央、省委、市委和区委重大部署，解读好相关政策措施、执行情况和工作成效。认真做好相关政策的解读，全年解读1次。</w:t>
      </w:r>
    </w:p>
    <w:p>
      <w:pPr>
        <w:spacing w:line="60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asci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主动回应社会关切。</w:t>
      </w:r>
      <w:r>
        <w:rPr>
          <w:rFonts w:hint="eastAsia" w:ascii="仿宋_GB2312" w:eastAsia="仿宋_GB2312" w:cs="仿宋_GB2312"/>
          <w:sz w:val="32"/>
          <w:szCs w:val="32"/>
        </w:rPr>
        <w:t>认真贯彻执行中央、省委、市委和区委政府有关部署要求，切实增强风险防控意识，详细完善分析研判制度，以“四大安全”为着眼点，密切监测收集，做到早发现、早研判、早处置。全年共受理市长热线及消费者投诉共2664件，其中商品类1517件，服务类1147件，挽回经济损失182.34万元。</w:t>
      </w:r>
    </w:p>
    <w:p>
      <w:pPr>
        <w:spacing w:line="600" w:lineRule="exact"/>
        <w:ind w:left="0"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asci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完善政府信息管理。</w:t>
      </w:r>
      <w:r>
        <w:rPr>
          <w:rFonts w:hint="eastAsia" w:ascii="仿宋_GB2312" w:eastAsia="仿宋_GB2312" w:cs="仿宋_GB2312"/>
          <w:sz w:val="32"/>
          <w:szCs w:val="32"/>
        </w:rPr>
        <w:t>严格落实网络意识形态责任制，加强政府网站内容建设和信息发布审核，把好政治关、政策关、文字关。</w:t>
      </w:r>
    </w:p>
    <w:p>
      <w:pPr>
        <w:spacing w:line="600" w:lineRule="exact"/>
        <w:ind w:left="0"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asci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强化平台建设。</w:t>
      </w:r>
      <w:r>
        <w:rPr>
          <w:rFonts w:hint="eastAsia" w:ascii="仿宋_GB2312" w:eastAsia="仿宋_GB2312" w:cs="仿宋_GB2312"/>
          <w:sz w:val="32"/>
          <w:szCs w:val="32"/>
        </w:rPr>
        <w:t>根据区政务信息公开工作有关要求，紧密结合市场监管职能，认真做好各项工作。局分管负责同志积极部署调度，提出工作要求，切实强化政务公开工作日常推进力度。</w:t>
      </w:r>
    </w:p>
    <w:p>
      <w:pPr>
        <w:pStyle w:val="7"/>
        <w:shd w:val="clear" w:color="auto" w:fill="FFFFFF"/>
        <w:spacing w:beforeAutospacing="0" w:afterAutospacing="0" w:line="450" w:lineRule="atLeast"/>
        <w:ind w:firstLine="643" w:firstLineChars="20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8</w:t>
      </w:r>
      <w:r>
        <w:rPr>
          <w:rFonts w:ascii="仿宋_GB2312" w:eastAsia="仿宋_GB2312" w:cs="仿宋_GB2312"/>
          <w:b/>
          <w:bCs/>
          <w:sz w:val="32"/>
          <w:szCs w:val="32"/>
          <w:lang w:eastAsia="zh-CN" w:bidi="ar-SA"/>
        </w:rPr>
        <w:t>.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  <w:t>完善公开制度建设。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建立完善信息公开制度，及时向社会公开食品、药品、产品质量、特种设备安全监管信息，保障社会公众知情权。进一步扩大政务开放参与，做好政策解读，加强重大政务舆情回应督办工作。完善法律监督、政府监督、社会监督、自我监督“四位一体”的综合监督体系，主动接受媒体和社会各界监督。</w:t>
      </w:r>
    </w:p>
    <w:p>
      <w:pPr>
        <w:pStyle w:val="7"/>
        <w:shd w:val="clear" w:color="auto" w:fill="FFFFFF"/>
        <w:spacing w:beforeAutospacing="0" w:afterAutospacing="0" w:line="450" w:lineRule="atLeas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 w:cs="黑体"/>
          <w:sz w:val="32"/>
          <w:szCs w:val="32"/>
        </w:rPr>
        <w:t>、主动公开政府信息情况</w:t>
      </w:r>
    </w:p>
    <w:tbl>
      <w:tblPr>
        <w:tblStyle w:val="8"/>
        <w:tblpPr w:leftFromText="180" w:rightFromText="180" w:vertAnchor="text" w:horzAnchor="page" w:tblpX="1910" w:tblpY="320"/>
        <w:tblOverlap w:val="never"/>
        <w:tblW w:w="8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本年新</w:t>
            </w:r>
          </w:p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本年新</w:t>
            </w:r>
          </w:p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14891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20" w:lineRule="exact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八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eastAsia="宋体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rPr>
                <w:rFonts w:ascii="宋体" w:eastAsia="宋体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ascii="黑体" w:eastAsia="黑体" w:cs="黑体"/>
          <w:b/>
          <w:bCs/>
          <w:sz w:val="32"/>
          <w:szCs w:val="32"/>
        </w:rPr>
      </w:pPr>
    </w:p>
    <w:p>
      <w:pPr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eastAsia="黑体" w:cs="黑体"/>
          <w:sz w:val="32"/>
          <w:szCs w:val="32"/>
        </w:rPr>
        <w:t>收到和处理政府信息公开申请情况</w:t>
      </w:r>
    </w:p>
    <w:tbl>
      <w:tblPr>
        <w:tblStyle w:val="8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</w:t>
            </w:r>
          </w:p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8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（六）其他处理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楷体" w:hAnsi="楷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cs="宋体"/>
                <w:sz w:val="18"/>
                <w:szCs w:val="18"/>
                <w:lang w:val="en-US" w:eastAsia="zh-CN"/>
              </w:rPr>
              <w:t>1、申请人无正当理由逾期不补正、行政机关不再处理其政府信息公开申请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85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楷体" w:hAnsi="楷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cs="宋体"/>
                <w:sz w:val="18"/>
                <w:szCs w:val="18"/>
                <w:lang w:val="en-US" w:eastAsia="zh-CN"/>
              </w:rPr>
              <w:t>2、申请人逾期未按收费通知要求缴纳费用、行政机关不再处理其政府信息公开申请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cs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  <w:tc>
          <w:tcPr>
            <w:tcW w:w="855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3、其他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楷体" w:hAnsi="楷体" w:cs="宋体"/>
                <w:sz w:val="18"/>
                <w:szCs w:val="18"/>
              </w:rPr>
            </w:pPr>
            <w:r>
              <w:rPr>
                <w:rFonts w:ascii="楷体" w:hAnsi="楷体" w:cs="宋体"/>
                <w:sz w:val="18"/>
                <w:szCs w:val="18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18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 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cs="宋体"/>
                <w:sz w:val="18"/>
                <w:szCs w:val="18"/>
              </w:rPr>
              <w:t>0 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18"/>
              </w:rPr>
              <w:t>0</w:t>
            </w:r>
          </w:p>
        </w:tc>
      </w:tr>
    </w:tbl>
    <w:p>
      <w:pPr>
        <w:spacing w:line="600" w:lineRule="exact"/>
        <w:ind w:left="0" w:firstLine="640" w:firstLineChars="200"/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8"/>
        <w:tblpPr w:leftFromText="180" w:rightFromText="180" w:vertAnchor="text" w:horzAnchor="page" w:tblpX="1755" w:tblpY="358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29"/>
        <w:gridCol w:w="602"/>
        <w:gridCol w:w="600"/>
        <w:gridCol w:w="585"/>
        <w:gridCol w:w="645"/>
        <w:gridCol w:w="600"/>
        <w:gridCol w:w="615"/>
        <w:gridCol w:w="630"/>
        <w:gridCol w:w="555"/>
        <w:gridCol w:w="600"/>
        <w:gridCol w:w="660"/>
        <w:gridCol w:w="600"/>
        <w:gridCol w:w="645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spacing w:line="600" w:lineRule="exact"/>
              <w:jc w:val="center"/>
              <w:rPr>
                <w:rFonts w:asci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行政复议</w:t>
            </w:r>
          </w:p>
        </w:tc>
        <w:tc>
          <w:tcPr>
            <w:tcW w:w="5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spacing w:line="600" w:lineRule="exact"/>
              <w:jc w:val="center"/>
              <w:rPr>
                <w:rFonts w:asci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bidi w:val="0"/>
              <w:jc w:val="center"/>
              <w:rPr>
                <w:rFonts w:ascii="黑体" w:eastAsia="黑体" w:cs="黑体"/>
                <w:b/>
                <w:bCs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bidi w:val="0"/>
              <w:jc w:val="both"/>
              <w:rPr>
                <w:rFonts w:ascii="宋体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jc w:val="center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bidi w:val="0"/>
              <w:jc w:val="center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both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bidi w:val="0"/>
              <w:jc w:val="center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bidi w:val="0"/>
              <w:jc w:val="both"/>
              <w:rPr>
                <w:rFonts w:eastAsia="宋体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 w:val="0"/>
              <w:bidi w:val="0"/>
              <w:jc w:val="center"/>
              <w:rPr>
                <w:rFonts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</w:rPr>
        <w:t>五、存在的</w:t>
      </w: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黑体" w:eastAsia="黑体" w:cs="黑体"/>
          <w:b w:val="0"/>
          <w:bCs w:val="0"/>
          <w:sz w:val="32"/>
          <w:szCs w:val="32"/>
        </w:rPr>
        <w:t>问题</w:t>
      </w: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及改进情况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2021年以来，我局积极推进政务信息公开工作，取得了一定的工作成效，但对照《中华人民共和国政府信息公开条例》工作标准和区政务信息公开工作要求，还存在政策解读形式较为单一，内容不够丰富，工作还需进一步提升等问题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2022年,我局将严格按照《中华人民共和国政府信息公开条例》工作标准和区政务信息公开的工作要求，在区委、区政府的正确领导下，进一步加强政务信息公开工作调度，切实完善日常工作机制，不断推动全局政务公开工作再上新台阶。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</w:rPr>
        <w:t>持续强化主动公开工作。</w:t>
      </w:r>
      <w:r>
        <w:rPr>
          <w:rFonts w:hint="eastAsia" w:ascii="仿宋_GB2312" w:eastAsia="仿宋_GB2312" w:cs="仿宋_GB2312"/>
          <w:sz w:val="32"/>
          <w:szCs w:val="32"/>
        </w:rPr>
        <w:t>坚持“公开为常态,不公开为例外”的原则，不断推进政府信息主动公开基本目录建设，提升主动公开的规范化水平。严格执行保密审查制度，对拟公开的政府信息要依法依规做好保密审查。</w:t>
      </w:r>
    </w:p>
    <w:p>
      <w:pPr>
        <w:spacing w:line="60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</w:rPr>
        <w:t>不断深化重点领域信息公开力度。</w:t>
      </w:r>
      <w:r>
        <w:rPr>
          <w:rFonts w:hint="eastAsia" w:ascii="仿宋_GB2312" w:eastAsia="仿宋_GB2312" w:cs="仿宋_GB2312"/>
          <w:sz w:val="32"/>
          <w:szCs w:val="32"/>
        </w:rPr>
        <w:t>结合市场监管工作职责，紧密结合食品药品安全、产品质量安全、价格监管、“双随机、一公开”等重点领域，持续加强信息公开力度。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）切实提高政策解读、回应关切质量，加大政策社会征求意见力度。</w:t>
      </w:r>
      <w:r>
        <w:rPr>
          <w:rFonts w:hint="eastAsia" w:ascii="仿宋_GB2312" w:eastAsia="仿宋_GB2312" w:cs="仿宋_GB2312"/>
          <w:sz w:val="32"/>
          <w:szCs w:val="32"/>
        </w:rPr>
        <w:t>对出台的政策规范性文件，提前向社会征求意见，不断提高决策的科学性和规范性。不断丰富政策解读的形式，围绕群众关心关切的热点问题，及时回应社会关切。</w:t>
      </w:r>
    </w:p>
    <w:p>
      <w:pPr>
        <w:spacing w:line="600" w:lineRule="exact"/>
        <w:ind w:left="0"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sz w:val="32"/>
          <w:szCs w:val="32"/>
          <w:lang w:eastAsia="zh-CN"/>
        </w:rPr>
        <w:t>（四）深入推进日常保障工作。</w:t>
      </w:r>
      <w:r>
        <w:rPr>
          <w:rFonts w:hint="eastAsia" w:ascii="仿宋_GB2312" w:eastAsia="仿宋_GB2312" w:cs="仿宋_GB2312"/>
          <w:sz w:val="32"/>
          <w:szCs w:val="32"/>
        </w:rPr>
        <w:t>进一步完善政务信息公开制度建设，切实完善日常工作机制，理顺工作流程。加强日常工作调度，结合政务公开目录设置，做好机关各股室的工作对结，确保信息公开的力度和频率。认真对照梳理，加强对存在问题的整改，不断提高政务信息公开工作水平。</w:t>
      </w:r>
    </w:p>
    <w:p>
      <w:pPr>
        <w:spacing w:line="600" w:lineRule="exact"/>
        <w:ind w:firstLine="640" w:firstLineChars="200"/>
        <w:rPr>
          <w:rFonts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</w:rPr>
        <w:t>六、</w:t>
      </w: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</w:p>
    <w:p>
      <w:pPr>
        <w:pStyle w:val="7"/>
        <w:shd w:val="clear" w:color="auto" w:fill="FFFFFF"/>
        <w:spacing w:beforeAutospacing="0" w:afterAutospacing="0" w:line="450" w:lineRule="atLeas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无</w:t>
      </w:r>
    </w:p>
    <w:p>
      <w:pPr>
        <w:spacing w:line="60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eastAsia="仿宋" w:cs="仿宋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" w:eastAsia="仿宋" w:cs="仿宋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72720"/>
              <wp:effectExtent l="0" t="0" r="0" b="0"/>
              <wp:wrapNone/>
              <wp:docPr id="1" name="_x0000_s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35" cy="17265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4097" o:spid="_x0000_s1026" o:spt="1" style="position:absolute;left:0pt;margin-top:0pt;height:13.6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w98YnRAAAAAgEAAA8AAAAAAAAAAQAgAAAAIgAAAGRycy9kb3ducmV2LnhtbFBLAQIUABQA&#10;AAAIAIdO4kD4K3NL9wEAAPQDAAAOAAAAAAAAAAEAIAAAACABAABkcnMvZTJvRG9jLnhtbFBLBQYA&#10;AAAABgAGAFkBAACJ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20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jIxZTllMDdjZTZjMDZjYjgwY2ViMzM4ZjMwZWY1ZmUifQ=="/>
  </w:docVars>
  <w:rsids>
    <w:rsidRoot w:val="00000000"/>
    <w:rsid w:val="4FD24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2897</Words>
  <Characters>2989</Characters>
  <Lines>425</Lines>
  <Paragraphs>308</Paragraphs>
  <TotalTime>3</TotalTime>
  <ScaleCrop>false</ScaleCrop>
  <LinksUpToDate>false</LinksUpToDate>
  <CharactersWithSpaces>3155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2022-02-25T04:08:00Z</dcterms:created>
  <dc:creator>Administrator</dc:creator>
  <cp:lastModifiedBy>%F0%9F%8D%92Elaine%E9%A5%BC%E5%A6%9E%F0%</cp:lastModifiedBy>
  <dcterms:modified xsi:type="dcterms:W3CDTF">2024-04-12T10:20:10Z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3E82B03FCE274C48BC21FC8C5FA8DBDE</vt:lpwstr>
  </property>
</Properties>
</file>