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1C" w:rsidRDefault="00A600A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尧都区市场监督管理局</w:t>
      </w:r>
    </w:p>
    <w:p w:rsidR="00A2701C" w:rsidRDefault="00A600A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年政府信息公开年度报告</w:t>
      </w:r>
    </w:p>
    <w:p w:rsidR="00A2701C" w:rsidRDefault="00A2701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2701C" w:rsidRDefault="00A2701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2701C" w:rsidRDefault="00A600AC">
      <w:pPr>
        <w:widowControl/>
        <w:shd w:val="clear" w:color="auto" w:fill="FFFFFF"/>
        <w:ind w:firstLine="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为依法全面、准确、及时向社会公布政府信息公开工作情况，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临汾市尧都区人民政府办公室关于做好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年政府信息公开年度报告相关工作的通知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要求，现将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尧都区市场监督管理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年政府信息公开年度报告向社会公布。</w:t>
      </w:r>
    </w:p>
    <w:p w:rsidR="00A2701C" w:rsidRDefault="00A600AC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A2701C" w:rsidRDefault="00A600AC">
      <w:pPr>
        <w:widowControl/>
        <w:shd w:val="clear" w:color="auto" w:fill="FFFFFF"/>
        <w:ind w:firstLine="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（一）认真推进主动公开。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区市场监管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局对照政务公开年度工作要点，按照“公开为常态、不公开为例外”的原则，聚焦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市场监管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工作重点及热点，积极推动有关政务信息向公众主动公开，实时传播我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创新工作进展，及时回应公众相关问题，增进与公众的互动交流。</w:t>
      </w:r>
    </w:p>
    <w:p w:rsidR="00A2701C" w:rsidRDefault="00A600AC">
      <w:pPr>
        <w:widowControl/>
        <w:shd w:val="clear" w:color="auto" w:fill="FFFFFF"/>
        <w:ind w:firstLine="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（二）积极应对公众关注。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区市场监管局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多渠道回应公众关心关切的问题进行释疑解惑，进一步健全完善依申请公开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相关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机制。</w:t>
      </w:r>
    </w:p>
    <w:p w:rsidR="00A2701C" w:rsidRDefault="00A600AC">
      <w:pPr>
        <w:widowControl/>
        <w:shd w:val="clear" w:color="auto" w:fill="FFFFFF"/>
        <w:ind w:firstLine="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（三）强化政府信息管理。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加强组织领导。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我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局高度重视政务公开工作，成立了以局党组书记、局长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韩鹏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为组长的政务公开工作领导小组，局办公室负责统筹推进、指导、协调、监督政府信息公开工作，形成主要领导亲自抓，分管领导具体抓，内设科室联动抓的工作格局。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加大政务公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开工作力度，建立经费保障机制；配齐选优人员队伍，加强业务培训，提升政务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公开政务服务能力。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健全政府信息公开制度，进一步完善政府信息公开制度及保密、法律审查制度，严格政府信息公开符合审批和发布流程，确保政府公开信息符合保密规定。</w:t>
      </w:r>
    </w:p>
    <w:p w:rsidR="00A2701C" w:rsidRDefault="00A600AC">
      <w:pPr>
        <w:widowControl/>
        <w:shd w:val="clear" w:color="auto" w:fill="FFFFFF"/>
        <w:ind w:firstLine="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（四）加强公开监督保障。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一直以来，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区市场监督管理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局把政府信息公开作为重要工作，做到与业务工作同研究、同部署、同检查。</w:t>
      </w:r>
    </w:p>
    <w:p w:rsidR="00A2701C" w:rsidRDefault="00A2701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2701C" w:rsidRDefault="00A2701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2701C" w:rsidRDefault="00A600A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A2701C" w:rsidRDefault="00A2701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2701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A2701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14024</w:t>
            </w:r>
          </w:p>
        </w:tc>
      </w:tr>
      <w:tr w:rsidR="00A2701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270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2701C" w:rsidRDefault="00A270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701C" w:rsidRDefault="00A270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701C" w:rsidRDefault="00A600A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A2701C" w:rsidRDefault="00A2701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A2701C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2701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2701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法律服务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701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A2701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2701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2701C" w:rsidRDefault="00A2701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2701C" w:rsidRDefault="00A600A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A2701C" w:rsidRDefault="00A2701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A2701C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2701C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270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1C" w:rsidRDefault="00A270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2701C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 w:rsidP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01C" w:rsidRDefault="00A60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2701C" w:rsidRDefault="00A270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701C" w:rsidRDefault="00A270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701C" w:rsidRDefault="00A600AC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五、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存在的主要问题及改进情况</w:t>
      </w:r>
    </w:p>
    <w:p w:rsidR="00A2701C" w:rsidRDefault="00A600AC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我局在区委、区政府的坚强领导下，</w:t>
      </w:r>
      <w:r>
        <w:rPr>
          <w:rFonts w:ascii="仿宋" w:eastAsia="仿宋" w:hAnsi="仿宋" w:cs="仿宋" w:hint="eastAsia"/>
          <w:sz w:val="32"/>
          <w:szCs w:val="32"/>
        </w:rPr>
        <w:t>在政府信息公开工作中取得一定的成效，但离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委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政府的要求和社会公众的需求还有需要完善的地方：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政务公开工作人员业务水平有待提高；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政务公开的内容需要进一步扩大，政务公开服务项目还需进一步完善。</w:t>
      </w:r>
    </w:p>
    <w:p w:rsidR="00A2701C" w:rsidRDefault="00A600AC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下一步工作重点和整改措施：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统一思想、提高认识。坚定不移地做好信息公开工作，将其作为服务社会、服务群众的重要途径。做到机构健全、制度完善、责任到人，建立起各负其责、运转协调的信息公开长效机制；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注重实效，规范信息公开形式。认真解决政务信息公开工作中存在的问题。依照国家法规和政策，建立科学合理、行之有效、具体</w:t>
      </w:r>
      <w:r>
        <w:rPr>
          <w:rFonts w:ascii="仿宋" w:eastAsia="仿宋" w:hAnsi="仿宋" w:cs="仿宋" w:hint="eastAsia"/>
          <w:sz w:val="32"/>
          <w:szCs w:val="32"/>
        </w:rPr>
        <w:t>明确、易于运行操作的运行体系，全面规范政务公开工作，深入实际，办实事、重实效。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>
        <w:rPr>
          <w:rFonts w:ascii="仿宋" w:eastAsia="仿宋" w:hAnsi="仿宋" w:cs="仿宋" w:hint="eastAsia"/>
          <w:sz w:val="32"/>
          <w:szCs w:val="32"/>
        </w:rPr>
        <w:t>加强干部队伍建设。建设一支强有力的工作队伍是做好政府信息公开工作的重要保障。不断提高干部队伍的思想政治素质和业务水平，增强广大干部职工的责任意识和服务意识，树立良好市场监管形象，确保政务公开工作顺利开展。</w:t>
      </w:r>
    </w:p>
    <w:p w:rsidR="00A2701C" w:rsidRDefault="00A600AC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A2701C" w:rsidRDefault="00A600AC">
      <w:pPr>
        <w:ind w:firstLineChars="100" w:firstLine="32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无</w:t>
      </w:r>
    </w:p>
    <w:p w:rsidR="00A2701C" w:rsidRDefault="00A2701C"/>
    <w:sectPr w:rsidR="00A2701C" w:rsidSect="00A2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JhZWNmMzIzMjE3YzQwZWEzNTZlZTM3NjI5NDJjZWQifQ=="/>
  </w:docVars>
  <w:rsids>
    <w:rsidRoot w:val="3E4E5EA7"/>
    <w:rsid w:val="00A2701C"/>
    <w:rsid w:val="00A600AC"/>
    <w:rsid w:val="103A575A"/>
    <w:rsid w:val="3A1B6623"/>
    <w:rsid w:val="3A241AE6"/>
    <w:rsid w:val="3A855DC2"/>
    <w:rsid w:val="3E4E5EA7"/>
    <w:rsid w:val="51A821CC"/>
    <w:rsid w:val="6F05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701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2023-01-10T07:49:00Z</dcterms:created>
  <dcterms:modified xsi:type="dcterms:W3CDTF">2023-01-31T09:03:00Z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9772CB5BF470409C9023C7156CF42E46</vt:lpwstr>
  </property>
</Properties>
</file>