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F1BCA">
      <w:pPr>
        <w:bidi w:val="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尧都区市场监督管理局</w:t>
      </w:r>
    </w:p>
    <w:p w14:paraId="469EEA44">
      <w:pPr>
        <w:bidi w:val="0"/>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2024年政府信息公开工作年度报告</w:t>
      </w:r>
    </w:p>
    <w:p w14:paraId="730070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3" w:firstLineChars="200"/>
        <w:rPr>
          <w:rFonts w:hint="eastAsia" w:ascii="黑体" w:hAnsi="黑体" w:eastAsia="黑体" w:cs="黑体"/>
          <w:b/>
          <w:bCs/>
          <w:color w:val="333333"/>
          <w:kern w:val="0"/>
          <w:sz w:val="32"/>
          <w:szCs w:val="32"/>
          <w:lang w:val="en-US" w:eastAsia="zh-CN" w:bidi="ar-SA"/>
        </w:rPr>
      </w:pPr>
    </w:p>
    <w:p w14:paraId="27D158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right="0" w:firstLine="643" w:firstLineChars="200"/>
        <w:rPr>
          <w:rFonts w:hint="eastAsia" w:ascii="黑体" w:hAnsi="黑体" w:eastAsia="黑体" w:cs="黑体"/>
          <w:b/>
          <w:bCs/>
          <w:color w:val="333333"/>
          <w:kern w:val="0"/>
          <w:sz w:val="32"/>
          <w:szCs w:val="32"/>
          <w:lang w:val="en-US" w:eastAsia="zh-CN" w:bidi="ar-SA"/>
        </w:rPr>
      </w:pPr>
      <w:r>
        <w:rPr>
          <w:rFonts w:hint="eastAsia" w:ascii="黑体" w:hAnsi="黑体" w:eastAsia="黑体" w:cs="黑体"/>
          <w:b/>
          <w:bCs/>
          <w:color w:val="333333"/>
          <w:kern w:val="0"/>
          <w:sz w:val="32"/>
          <w:szCs w:val="32"/>
          <w:lang w:val="en-US" w:eastAsia="zh-CN" w:bidi="ar-SA"/>
        </w:rPr>
        <w:t>一、总体情况</w:t>
      </w:r>
    </w:p>
    <w:p w14:paraId="022E792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textAlignment w:val="auto"/>
        <w:rPr>
          <w:rFonts w:hint="eastAsia" w:ascii="仿宋_GB2312" w:hAnsi="仿宋_GB2312" w:eastAsia="仿宋_GB2312" w:cs="仿宋_GB2312"/>
          <w:i w:val="0"/>
          <w:iCs w:val="0"/>
          <w:caps w:val="0"/>
          <w:color w:val="3D3D3D"/>
          <w:spacing w:val="0"/>
          <w:sz w:val="32"/>
          <w:szCs w:val="32"/>
          <w:shd w:val="clear" w:fill="FFFFFF"/>
        </w:rPr>
      </w:pPr>
      <w:r>
        <w:rPr>
          <w:rFonts w:hint="eastAsia" w:ascii="仿宋_GB2312" w:hAnsi="仿宋_GB2312" w:eastAsia="仿宋_GB2312" w:cs="仿宋_GB2312"/>
          <w:i w:val="0"/>
          <w:iCs w:val="0"/>
          <w:caps w:val="0"/>
          <w:color w:val="3D3D3D"/>
          <w:spacing w:val="0"/>
          <w:sz w:val="32"/>
          <w:szCs w:val="32"/>
          <w:shd w:val="clear" w:fill="FFFFFF"/>
        </w:rPr>
        <w:t>2024年，在</w:t>
      </w:r>
      <w:r>
        <w:rPr>
          <w:rFonts w:hint="eastAsia" w:ascii="仿宋_GB2312" w:hAnsi="仿宋_GB2312" w:eastAsia="仿宋_GB2312" w:cs="仿宋_GB2312"/>
          <w:i w:val="0"/>
          <w:iCs w:val="0"/>
          <w:caps w:val="0"/>
          <w:color w:val="3D3D3D"/>
          <w:spacing w:val="0"/>
          <w:sz w:val="32"/>
          <w:szCs w:val="32"/>
          <w:shd w:val="clear" w:fill="FFFFFF"/>
          <w:lang w:val="en-US" w:eastAsia="zh-CN"/>
        </w:rPr>
        <w:t>区</w:t>
      </w:r>
      <w:r>
        <w:rPr>
          <w:rFonts w:hint="eastAsia" w:ascii="仿宋_GB2312" w:hAnsi="仿宋_GB2312" w:eastAsia="仿宋_GB2312" w:cs="仿宋_GB2312"/>
          <w:i w:val="0"/>
          <w:iCs w:val="0"/>
          <w:caps w:val="0"/>
          <w:color w:val="3D3D3D"/>
          <w:spacing w:val="0"/>
          <w:sz w:val="32"/>
          <w:szCs w:val="32"/>
          <w:shd w:val="clear" w:fill="FFFFFF"/>
        </w:rPr>
        <w:t>委、</w:t>
      </w:r>
      <w:r>
        <w:rPr>
          <w:rFonts w:hint="eastAsia" w:ascii="仿宋_GB2312" w:hAnsi="仿宋_GB2312" w:eastAsia="仿宋_GB2312" w:cs="仿宋_GB2312"/>
          <w:i w:val="0"/>
          <w:iCs w:val="0"/>
          <w:caps w:val="0"/>
          <w:color w:val="3D3D3D"/>
          <w:spacing w:val="0"/>
          <w:sz w:val="32"/>
          <w:szCs w:val="32"/>
          <w:shd w:val="clear" w:fill="FFFFFF"/>
          <w:lang w:val="en-US" w:eastAsia="zh-CN"/>
        </w:rPr>
        <w:t>区</w:t>
      </w:r>
      <w:r>
        <w:rPr>
          <w:rFonts w:hint="eastAsia" w:ascii="仿宋_GB2312" w:hAnsi="仿宋_GB2312" w:eastAsia="仿宋_GB2312" w:cs="仿宋_GB2312"/>
          <w:i w:val="0"/>
          <w:iCs w:val="0"/>
          <w:caps w:val="0"/>
          <w:color w:val="3D3D3D"/>
          <w:spacing w:val="0"/>
          <w:sz w:val="32"/>
          <w:szCs w:val="32"/>
          <w:shd w:val="clear" w:fill="FFFFFF"/>
        </w:rPr>
        <w:t>政府的正确领导</w:t>
      </w:r>
      <w:r>
        <w:rPr>
          <w:rFonts w:hint="eastAsia" w:ascii="仿宋_GB2312" w:hAnsi="仿宋_GB2312" w:eastAsia="仿宋_GB2312" w:cs="仿宋_GB2312"/>
          <w:i w:val="0"/>
          <w:iCs w:val="0"/>
          <w:caps w:val="0"/>
          <w:color w:val="3D3D3D"/>
          <w:spacing w:val="0"/>
          <w:sz w:val="32"/>
          <w:szCs w:val="32"/>
          <w:shd w:val="clear" w:fill="FFFFFF"/>
          <w:lang w:val="en-US" w:eastAsia="zh-CN"/>
        </w:rPr>
        <w:t>下</w:t>
      </w:r>
      <w:r>
        <w:rPr>
          <w:rFonts w:hint="eastAsia" w:ascii="仿宋_GB2312" w:hAnsi="仿宋_GB2312" w:eastAsia="仿宋_GB2312" w:cs="仿宋_GB2312"/>
          <w:i w:val="0"/>
          <w:iCs w:val="0"/>
          <w:caps w:val="0"/>
          <w:color w:val="3D3D3D"/>
          <w:spacing w:val="0"/>
          <w:sz w:val="32"/>
          <w:szCs w:val="32"/>
          <w:shd w:val="clear" w:fill="FFFFFF"/>
        </w:rPr>
        <w:t>，</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局深入贯彻《中华人民共和国政府信息公开条例》，结合部门工作实际，紧扣群众关切，积极推进政务公开工作。现将我局本年度政务公开工作情况报告如下：</w:t>
      </w:r>
    </w:p>
    <w:p w14:paraId="4C2314A1">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楷体" w:hAnsi="楷体" w:eastAsia="楷体" w:cs="楷体"/>
          <w:b/>
          <w:bCs/>
          <w:i w:val="0"/>
          <w:iCs w:val="0"/>
          <w:caps w:val="0"/>
          <w:color w:val="3D3D3D"/>
          <w:spacing w:val="0"/>
          <w:kern w:val="0"/>
          <w:sz w:val="32"/>
          <w:szCs w:val="32"/>
          <w:shd w:val="clear" w:fill="FFFFFF"/>
          <w:lang w:val="en-US" w:eastAsia="zh-CN" w:bidi="ar"/>
        </w:rPr>
        <w:t>（一）扎实做好政府信息公开工作。</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仿宋_GB2312" w:eastAsia="仿宋_GB2312" w:cs="仿宋_GB2312"/>
          <w:i w:val="0"/>
          <w:iCs w:val="0"/>
          <w:caps w:val="0"/>
          <w:color w:val="3D3D3D"/>
          <w:spacing w:val="0"/>
          <w:sz w:val="32"/>
          <w:szCs w:val="32"/>
          <w:shd w:val="clear" w:fill="FFFFFF"/>
          <w:lang w:val="en-US" w:eastAsia="zh-CN"/>
        </w:rPr>
        <w:t>坚持以习近平新时代中国特色社会主义思想为指导，全面贯彻落实党的二十大、二十届三中全会精神，以区政府门户网站为公开主渠道，</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按照“公开为原则、不公开为例外”的原则，以群众关心、涉及群众切实利益的信息为公开重点，细化信息公开内容、范围和形式，提高工作透明度，全面推进政务事项公开，维护好实现好群众对市场监管工作的知情权、参与权和监督权。2024年在尧都区人民政府网站公开相关信息11条。</w:t>
      </w:r>
    </w:p>
    <w:p w14:paraId="1F8F842A">
      <w:pPr>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楷体" w:hAnsi="楷体" w:eastAsia="楷体" w:cs="楷体"/>
          <w:b/>
          <w:bCs/>
          <w:i w:val="0"/>
          <w:iCs w:val="0"/>
          <w:caps w:val="0"/>
          <w:color w:val="3D3D3D"/>
          <w:spacing w:val="0"/>
          <w:kern w:val="0"/>
          <w:sz w:val="32"/>
          <w:szCs w:val="32"/>
          <w:shd w:val="clear" w:fill="FFFFFF"/>
          <w:lang w:val="en-US" w:eastAsia="zh-CN" w:bidi="ar"/>
        </w:rPr>
        <w:t>（二）规范开展政府信息依申请公开。</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建立健全依申请公开审查机制，坚持“公开为常态、不公开为例外”工作理念，及时回应社会关切，常态化开展市场监管工作，有效推进政府信息公开工作落实落地落细。</w:t>
      </w:r>
      <w:r>
        <w:rPr>
          <w:rFonts w:ascii="仿宋_GB2312" w:hAnsi="宋体" w:eastAsia="仿宋_GB2312" w:cs="仿宋_GB2312"/>
          <w:i w:val="0"/>
          <w:iCs w:val="0"/>
          <w:caps w:val="0"/>
          <w:color w:val="333333"/>
          <w:spacing w:val="0"/>
          <w:sz w:val="31"/>
          <w:szCs w:val="31"/>
        </w:rPr>
        <w:t>20</w:t>
      </w:r>
      <w:r>
        <w:rPr>
          <w:rFonts w:hint="eastAsia" w:ascii="仿宋_GB2312" w:hAnsi="宋体" w:eastAsia="仿宋_GB2312" w:cs="仿宋_GB2312"/>
          <w:i w:val="0"/>
          <w:iCs w:val="0"/>
          <w:caps w:val="0"/>
          <w:color w:val="333333"/>
          <w:spacing w:val="0"/>
          <w:sz w:val="31"/>
          <w:szCs w:val="31"/>
        </w:rPr>
        <w:t>2</w:t>
      </w:r>
      <w:r>
        <w:rPr>
          <w:rFonts w:hint="eastAsia" w:ascii="仿宋_GB2312" w:hAnsi="宋体" w:eastAsia="仿宋_GB2312" w:cs="仿宋_GB2312"/>
          <w:i w:val="0"/>
          <w:iCs w:val="0"/>
          <w:caps w:val="0"/>
          <w:color w:val="333333"/>
          <w:spacing w:val="0"/>
          <w:sz w:val="31"/>
          <w:szCs w:val="31"/>
          <w:lang w:val="en-US" w:eastAsia="zh-CN"/>
        </w:rPr>
        <w:t>4</w:t>
      </w:r>
      <w:r>
        <w:rPr>
          <w:rFonts w:hint="eastAsia" w:ascii="仿宋_GB2312" w:hAnsi="宋体" w:eastAsia="仿宋_GB2312" w:cs="仿宋_GB2312"/>
          <w:i w:val="0"/>
          <w:iCs w:val="0"/>
          <w:caps w:val="0"/>
          <w:color w:val="333333"/>
          <w:spacing w:val="0"/>
          <w:sz w:val="31"/>
          <w:szCs w:val="31"/>
        </w:rPr>
        <w:t>年，我局未接到信息公开申请。</w:t>
      </w:r>
    </w:p>
    <w:p w14:paraId="797FFBE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宋体" w:eastAsia="仿宋_GB2312" w:cs="仿宋_GB2312"/>
          <w:i w:val="0"/>
          <w:iCs w:val="0"/>
          <w:caps w:val="0"/>
          <w:color w:val="333333"/>
          <w:spacing w:val="0"/>
          <w:sz w:val="31"/>
          <w:szCs w:val="31"/>
          <w:lang w:val="en-US" w:eastAsia="zh-CN"/>
        </w:rPr>
      </w:pPr>
      <w:r>
        <w:rPr>
          <w:rFonts w:hint="eastAsia" w:ascii="楷体" w:hAnsi="楷体" w:eastAsia="楷体" w:cs="楷体"/>
          <w:b/>
          <w:bCs/>
          <w:i w:val="0"/>
          <w:iCs w:val="0"/>
          <w:caps w:val="0"/>
          <w:color w:val="3D3D3D"/>
          <w:spacing w:val="0"/>
          <w:kern w:val="0"/>
          <w:sz w:val="32"/>
          <w:szCs w:val="32"/>
          <w:shd w:val="clear" w:fill="FFFFFF"/>
          <w:lang w:val="en-US" w:eastAsia="zh-CN" w:bidi="ar"/>
        </w:rPr>
        <w:t>（三）严格政府信息公开审核把关。</w:t>
      </w: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严格落实信息发布制度。</w:t>
      </w:r>
      <w:r>
        <w:rPr>
          <w:rFonts w:hint="eastAsia" w:ascii="仿宋_GB2312" w:hAnsi="仿宋_GB2312" w:eastAsia="仿宋_GB2312" w:cs="仿宋_GB2312"/>
          <w:b/>
          <w:bCs/>
          <w:i w:val="0"/>
          <w:iCs w:val="0"/>
          <w:caps w:val="0"/>
          <w:color w:val="3D3D3D"/>
          <w:spacing w:val="0"/>
          <w:kern w:val="0"/>
          <w:sz w:val="32"/>
          <w:szCs w:val="32"/>
          <w:shd w:val="clear" w:fill="FFFFFF"/>
          <w:lang w:val="en-US" w:eastAsia="zh-CN" w:bidi="ar"/>
        </w:rPr>
        <w:t>一是</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健全工作机制。严格按照“三审三校”流程，</w:t>
      </w:r>
      <w:r>
        <w:rPr>
          <w:rFonts w:ascii="仿宋_GB2312" w:hAnsi="宋体" w:eastAsia="仿宋_GB2312" w:cs="仿宋_GB2312"/>
          <w:i w:val="0"/>
          <w:iCs w:val="0"/>
          <w:caps w:val="0"/>
          <w:color w:val="333333"/>
          <w:spacing w:val="0"/>
          <w:sz w:val="31"/>
          <w:szCs w:val="31"/>
        </w:rPr>
        <w:t>对需要公开的信息，经科室负责</w:t>
      </w:r>
      <w:r>
        <w:rPr>
          <w:rFonts w:hint="eastAsia" w:ascii="仿宋_GB2312" w:hAnsi="宋体" w:eastAsia="仿宋_GB2312" w:cs="仿宋_GB2312"/>
          <w:i w:val="0"/>
          <w:iCs w:val="0"/>
          <w:caps w:val="0"/>
          <w:color w:val="333333"/>
          <w:spacing w:val="0"/>
          <w:sz w:val="31"/>
          <w:szCs w:val="31"/>
          <w:lang w:val="en-US" w:eastAsia="zh-CN"/>
        </w:rPr>
        <w:t>人</w:t>
      </w:r>
      <w:r>
        <w:rPr>
          <w:rFonts w:ascii="仿宋_GB2312" w:hAnsi="宋体" w:eastAsia="仿宋_GB2312" w:cs="仿宋_GB2312"/>
          <w:i w:val="0"/>
          <w:iCs w:val="0"/>
          <w:caps w:val="0"/>
          <w:color w:val="333333"/>
          <w:spacing w:val="0"/>
          <w:sz w:val="31"/>
          <w:szCs w:val="31"/>
        </w:rPr>
        <w:t>审核把关后，经分管领导和主要领导审核签字</w:t>
      </w:r>
      <w:r>
        <w:rPr>
          <w:rFonts w:hint="eastAsia" w:ascii="仿宋_GB2312" w:hAnsi="宋体" w:eastAsia="仿宋_GB2312" w:cs="仿宋_GB2312"/>
          <w:i w:val="0"/>
          <w:iCs w:val="0"/>
          <w:caps w:val="0"/>
          <w:color w:val="333333"/>
          <w:spacing w:val="0"/>
          <w:sz w:val="31"/>
          <w:szCs w:val="31"/>
          <w:lang w:val="en-US" w:eastAsia="zh-CN"/>
        </w:rPr>
        <w:t>,按照区政府网站公示规定履行审批程序后</w:t>
      </w:r>
      <w:r>
        <w:rPr>
          <w:rFonts w:ascii="仿宋_GB2312" w:hAnsi="宋体" w:eastAsia="仿宋_GB2312" w:cs="仿宋_GB2312"/>
          <w:i w:val="0"/>
          <w:iCs w:val="0"/>
          <w:caps w:val="0"/>
          <w:color w:val="333333"/>
          <w:spacing w:val="0"/>
          <w:sz w:val="31"/>
          <w:szCs w:val="31"/>
        </w:rPr>
        <w:t>在</w:t>
      </w:r>
      <w:r>
        <w:rPr>
          <w:rFonts w:hint="eastAsia" w:ascii="仿宋_GB2312" w:hAnsi="宋体" w:eastAsia="仿宋_GB2312" w:cs="仿宋_GB2312"/>
          <w:i w:val="0"/>
          <w:iCs w:val="0"/>
          <w:caps w:val="0"/>
          <w:color w:val="333333"/>
          <w:spacing w:val="0"/>
          <w:sz w:val="31"/>
          <w:szCs w:val="31"/>
          <w:lang w:eastAsia="zh-CN"/>
        </w:rPr>
        <w:t>政府</w:t>
      </w:r>
      <w:r>
        <w:rPr>
          <w:rFonts w:ascii="仿宋_GB2312" w:hAnsi="宋体" w:eastAsia="仿宋_GB2312" w:cs="仿宋_GB2312"/>
          <w:i w:val="0"/>
          <w:iCs w:val="0"/>
          <w:caps w:val="0"/>
          <w:color w:val="333333"/>
          <w:spacing w:val="0"/>
          <w:sz w:val="31"/>
          <w:szCs w:val="31"/>
        </w:rPr>
        <w:t>网</w:t>
      </w:r>
      <w:r>
        <w:rPr>
          <w:rFonts w:hint="eastAsia" w:ascii="仿宋_GB2312" w:hAnsi="宋体" w:eastAsia="仿宋_GB2312" w:cs="仿宋_GB2312"/>
          <w:i w:val="0"/>
          <w:iCs w:val="0"/>
          <w:caps w:val="0"/>
          <w:color w:val="333333"/>
          <w:spacing w:val="0"/>
          <w:sz w:val="31"/>
          <w:szCs w:val="31"/>
          <w:lang w:eastAsia="zh-CN"/>
        </w:rPr>
        <w:t>站</w:t>
      </w:r>
      <w:r>
        <w:rPr>
          <w:rFonts w:ascii="仿宋_GB2312" w:hAnsi="宋体" w:eastAsia="仿宋_GB2312" w:cs="仿宋_GB2312"/>
          <w:i w:val="0"/>
          <w:iCs w:val="0"/>
          <w:caps w:val="0"/>
          <w:color w:val="333333"/>
          <w:spacing w:val="0"/>
          <w:sz w:val="31"/>
          <w:szCs w:val="31"/>
        </w:rPr>
        <w:t>进行公示。</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对拟公开的政府信息内容进行规范性审核与保密审查，确保涉密信息不公开、公开信息不涉密。</w:t>
      </w:r>
      <w:r>
        <w:rPr>
          <w:rFonts w:hint="eastAsia" w:ascii="仿宋_GB2312" w:hAnsi="宋体" w:eastAsia="仿宋_GB2312" w:cs="仿宋_GB2312"/>
          <w:b/>
          <w:bCs/>
          <w:i w:val="0"/>
          <w:iCs w:val="0"/>
          <w:caps w:val="0"/>
          <w:color w:val="333333"/>
          <w:spacing w:val="0"/>
          <w:sz w:val="31"/>
          <w:szCs w:val="31"/>
          <w:lang w:val="en-US" w:eastAsia="zh-CN"/>
        </w:rPr>
        <w:t>二是</w:t>
      </w:r>
      <w:r>
        <w:rPr>
          <w:rFonts w:hint="eastAsia" w:ascii="仿宋_GB2312" w:hAnsi="宋体" w:eastAsia="仿宋_GB2312" w:cs="仿宋_GB2312"/>
          <w:b w:val="0"/>
          <w:bCs w:val="0"/>
          <w:i w:val="0"/>
          <w:iCs w:val="0"/>
          <w:caps w:val="0"/>
          <w:color w:val="333333"/>
          <w:spacing w:val="0"/>
          <w:sz w:val="31"/>
          <w:szCs w:val="31"/>
          <w:lang w:val="en-US" w:eastAsia="zh-CN"/>
        </w:rPr>
        <w:t>强化</w:t>
      </w:r>
      <w:r>
        <w:rPr>
          <w:rFonts w:hint="eastAsia" w:ascii="仿宋_GB2312" w:hAnsi="宋体" w:eastAsia="仿宋_GB2312" w:cs="仿宋_GB2312"/>
          <w:i w:val="0"/>
          <w:iCs w:val="0"/>
          <w:caps w:val="0"/>
          <w:color w:val="333333"/>
          <w:spacing w:val="0"/>
          <w:sz w:val="31"/>
          <w:szCs w:val="31"/>
          <w:lang w:val="en-US" w:eastAsia="zh-CN"/>
        </w:rPr>
        <w:t>公开实效。本着“应公开尽公开”的原则，围绕市场监管重点信息，在确保不泄密的情况下，最大限度公开信息。</w:t>
      </w:r>
    </w:p>
    <w:p w14:paraId="22BC15CF">
      <w:pPr>
        <w:keepNext w:val="0"/>
        <w:keepLines w:val="0"/>
        <w:pageBreakBefore w:val="0"/>
        <w:widowControl w:val="0"/>
        <w:kinsoku/>
        <w:wordWrap/>
        <w:overflowPunct/>
        <w:topLinePunct w:val="0"/>
        <w:autoSpaceDE/>
        <w:autoSpaceDN/>
        <w:bidi w:val="0"/>
        <w:adjustRightInd/>
        <w:snapToGrid/>
        <w:ind w:firstLine="643" w:firstLineChars="200"/>
        <w:textAlignment w:val="auto"/>
        <w:rPr>
          <w:rFonts w:ascii="楷体_GB2312" w:hAnsi="楷体_GB2312" w:eastAsia="楷体_GB2312" w:cs="楷体_GB2312"/>
          <w:b/>
          <w:bCs/>
          <w:sz w:val="32"/>
          <w:szCs w:val="32"/>
        </w:rPr>
      </w:pPr>
      <w:r>
        <w:rPr>
          <w:rFonts w:hint="eastAsia" w:ascii="楷体" w:hAnsi="楷体" w:eastAsia="楷体" w:cs="楷体"/>
          <w:b/>
          <w:bCs/>
          <w:i w:val="0"/>
          <w:iCs w:val="0"/>
          <w:caps w:val="0"/>
          <w:color w:val="3D3D3D"/>
          <w:spacing w:val="0"/>
          <w:kern w:val="0"/>
          <w:sz w:val="32"/>
          <w:szCs w:val="32"/>
          <w:shd w:val="clear" w:fill="FFFFFF"/>
          <w:lang w:val="en-US" w:eastAsia="zh-CN" w:bidi="ar"/>
        </w:rPr>
        <w:t>（四）</w:t>
      </w:r>
      <w:r>
        <w:rPr>
          <w:rFonts w:hint="eastAsia" w:ascii="楷体_GB2312" w:hAnsi="楷体_GB2312" w:eastAsia="楷体_GB2312" w:cs="楷体_GB2312"/>
          <w:b/>
          <w:bCs/>
          <w:sz w:val="32"/>
          <w:szCs w:val="32"/>
        </w:rPr>
        <w:t>政府信息管理</w:t>
      </w:r>
    </w:p>
    <w:p w14:paraId="649618C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420" w:lineRule="atLeast"/>
        <w:ind w:firstLine="620" w:firstLineChars="200"/>
        <w:textAlignment w:val="auto"/>
        <w:rPr>
          <w:rFonts w:hint="eastAsia" w:ascii="仿宋_GB2312" w:hAnsi="宋体" w:eastAsia="仿宋_GB2312" w:cs="仿宋_GB2312"/>
          <w:i w:val="0"/>
          <w:iCs w:val="0"/>
          <w:caps w:val="0"/>
          <w:color w:val="333333"/>
          <w:spacing w:val="0"/>
          <w:kern w:val="2"/>
          <w:sz w:val="31"/>
          <w:szCs w:val="31"/>
          <w:lang w:val="en-US" w:eastAsia="zh-CN" w:bidi="ar-SA"/>
        </w:rPr>
      </w:pPr>
      <w:r>
        <w:rPr>
          <w:rFonts w:hint="eastAsia" w:ascii="仿宋_GB2312" w:hAnsi="宋体" w:eastAsia="仿宋_GB2312" w:cs="仿宋_GB2312"/>
          <w:i w:val="0"/>
          <w:iCs w:val="0"/>
          <w:caps w:val="0"/>
          <w:color w:val="333333"/>
          <w:spacing w:val="0"/>
          <w:kern w:val="2"/>
          <w:sz w:val="31"/>
          <w:szCs w:val="31"/>
          <w:lang w:val="en-US" w:eastAsia="zh-CN" w:bidi="ar-SA"/>
        </w:rPr>
        <w:t>2024年，尧都区市场监管局坚持以人民为中心，认真贯彻执行《中华人民共和国政府信息公开条例》，规范和完善政府信息公开工作。</w:t>
      </w:r>
      <w:r>
        <w:rPr>
          <w:rFonts w:hint="eastAsia" w:ascii="仿宋_GB2312" w:hAnsi="宋体" w:eastAsia="仿宋_GB2312" w:cs="仿宋_GB2312"/>
          <w:b/>
          <w:bCs/>
          <w:i w:val="0"/>
          <w:iCs w:val="0"/>
          <w:caps w:val="0"/>
          <w:color w:val="333333"/>
          <w:spacing w:val="0"/>
          <w:kern w:val="2"/>
          <w:sz w:val="31"/>
          <w:szCs w:val="31"/>
          <w:lang w:val="en-US" w:eastAsia="zh-CN" w:bidi="ar-SA"/>
        </w:rPr>
        <w:t>一是</w:t>
      </w:r>
      <w:r>
        <w:rPr>
          <w:rFonts w:hint="eastAsia" w:ascii="仿宋_GB2312" w:hAnsi="宋体" w:eastAsia="仿宋_GB2312" w:cs="仿宋_GB2312"/>
          <w:i w:val="0"/>
          <w:iCs w:val="0"/>
          <w:caps w:val="0"/>
          <w:color w:val="333333"/>
          <w:spacing w:val="0"/>
          <w:kern w:val="2"/>
          <w:sz w:val="31"/>
          <w:szCs w:val="31"/>
          <w:lang w:val="en-US" w:eastAsia="zh-CN" w:bidi="ar-SA"/>
        </w:rPr>
        <w:t>高度重视政府信息公开工作，始终把做好政府信息公开工作列入重要议事日程，建立局主要领导负总责、分管领导牵头部署、有关科室具体落实的工作机制，明确专人专门负责信息公开工作，确保政府信息公开工作规范有序高效开展。</w:t>
      </w:r>
      <w:r>
        <w:rPr>
          <w:rFonts w:hint="eastAsia" w:ascii="仿宋_GB2312" w:hAnsi="宋体" w:eastAsia="仿宋_GB2312" w:cs="仿宋_GB2312"/>
          <w:b/>
          <w:bCs/>
          <w:i w:val="0"/>
          <w:iCs w:val="0"/>
          <w:caps w:val="0"/>
          <w:color w:val="333333"/>
          <w:spacing w:val="0"/>
          <w:kern w:val="2"/>
          <w:sz w:val="31"/>
          <w:szCs w:val="31"/>
          <w:lang w:val="en-US" w:eastAsia="zh-CN" w:bidi="ar-SA"/>
        </w:rPr>
        <w:t>二是</w:t>
      </w:r>
      <w:r>
        <w:rPr>
          <w:rFonts w:hint="eastAsia" w:ascii="仿宋_GB2312" w:hAnsi="宋体" w:eastAsia="仿宋_GB2312" w:cs="仿宋_GB2312"/>
          <w:i w:val="0"/>
          <w:iCs w:val="0"/>
          <w:caps w:val="0"/>
          <w:color w:val="333333"/>
          <w:spacing w:val="0"/>
          <w:kern w:val="2"/>
          <w:sz w:val="31"/>
          <w:szCs w:val="31"/>
          <w:lang w:val="en-US" w:eastAsia="zh-CN" w:bidi="ar-SA"/>
        </w:rPr>
        <w:t>加强信息公开工作日常管理，明确由1名分管领导和1名工作人员负责公开信息收集、送审、编辑、发布工作，保障公开信息收集完整、编辑规范、审核到位、发布及时。</w:t>
      </w:r>
      <w:r>
        <w:rPr>
          <w:rFonts w:hint="eastAsia" w:ascii="仿宋_GB2312" w:hAnsi="宋体" w:eastAsia="仿宋_GB2312" w:cs="仿宋_GB2312"/>
          <w:b/>
          <w:bCs/>
          <w:i w:val="0"/>
          <w:iCs w:val="0"/>
          <w:caps w:val="0"/>
          <w:color w:val="333333"/>
          <w:spacing w:val="0"/>
          <w:kern w:val="2"/>
          <w:sz w:val="31"/>
          <w:szCs w:val="31"/>
          <w:lang w:val="en-US" w:eastAsia="zh-CN" w:bidi="ar-SA"/>
        </w:rPr>
        <w:t>三是</w:t>
      </w:r>
      <w:r>
        <w:rPr>
          <w:rFonts w:hint="eastAsia" w:ascii="仿宋_GB2312" w:hAnsi="宋体" w:eastAsia="仿宋_GB2312" w:cs="仿宋_GB2312"/>
          <w:i w:val="0"/>
          <w:iCs w:val="0"/>
          <w:caps w:val="0"/>
          <w:color w:val="333333"/>
          <w:spacing w:val="0"/>
          <w:kern w:val="2"/>
          <w:sz w:val="31"/>
          <w:szCs w:val="31"/>
          <w:lang w:val="en-US" w:eastAsia="zh-CN" w:bidi="ar-SA"/>
        </w:rPr>
        <w:t>加强信息公开工作保密意识，完善我局信息保密制度，切实做好信息保密审查工作，全年无泄密事件发生。</w:t>
      </w:r>
    </w:p>
    <w:p w14:paraId="3DEE4BA1">
      <w:pPr>
        <w:pStyle w:val="2"/>
        <w:keepNext w:val="0"/>
        <w:keepLines w:val="0"/>
        <w:pageBreakBefore w:val="0"/>
        <w:widowControl/>
        <w:numPr>
          <w:ilvl w:val="0"/>
          <w:numId w:val="1"/>
        </w:numPr>
        <w:kinsoku/>
        <w:wordWrap/>
        <w:overflowPunct/>
        <w:topLinePunct w:val="0"/>
        <w:autoSpaceDE/>
        <w:autoSpaceDN/>
        <w:bidi w:val="0"/>
        <w:adjustRightInd/>
        <w:snapToGrid/>
        <w:spacing w:before="0" w:beforeAutospacing="0" w:after="0" w:afterAutospacing="0" w:line="420" w:lineRule="atLeas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监督保障情况</w:t>
      </w:r>
    </w:p>
    <w:p w14:paraId="034215EB">
      <w:pPr>
        <w:pStyle w:val="2"/>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20" w:lineRule="atLeast"/>
        <w:ind w:right="0" w:rightChars="0" w:firstLine="640" w:firstLineChars="200"/>
        <w:textAlignment w:val="auto"/>
        <w:rPr>
          <w:rFonts w:hint="eastAsia" w:ascii="仿宋_GB2312" w:hAnsi="宋体" w:eastAsia="仿宋_GB2312" w:cs="仿宋_GB2312"/>
          <w:i w:val="0"/>
          <w:iCs w:val="0"/>
          <w:caps w:val="0"/>
          <w:color w:val="333333"/>
          <w:spacing w:val="0"/>
          <w:kern w:val="2"/>
          <w:sz w:val="31"/>
          <w:szCs w:val="31"/>
          <w:lang w:val="en-US" w:eastAsia="zh-CN" w:bidi="ar-SA"/>
        </w:rPr>
      </w:pPr>
      <w:r>
        <w:rPr>
          <w:rFonts w:hint="eastAsia" w:ascii="仿宋_GB2312" w:hAnsi="仿宋_GB2312" w:eastAsia="仿宋_GB2312" w:cs="仿宋_GB2312"/>
          <w:i w:val="0"/>
          <w:iCs w:val="0"/>
          <w:caps w:val="0"/>
          <w:color w:val="3D3D3D"/>
          <w:spacing w:val="0"/>
          <w:sz w:val="32"/>
          <w:szCs w:val="32"/>
          <w:shd w:val="clear" w:fill="FFFFFF"/>
          <w:lang w:val="en-US" w:eastAsia="zh-CN"/>
        </w:rPr>
        <w:t>尧都区市场监督管理</w:t>
      </w:r>
      <w:r>
        <w:rPr>
          <w:rFonts w:hint="eastAsia" w:ascii="仿宋_GB2312" w:hAnsi="仿宋_GB2312" w:eastAsia="仿宋_GB2312" w:cs="仿宋_GB2312"/>
          <w:i w:val="0"/>
          <w:iCs w:val="0"/>
          <w:caps w:val="0"/>
          <w:color w:val="3D3D3D"/>
          <w:spacing w:val="0"/>
          <w:sz w:val="32"/>
          <w:szCs w:val="32"/>
          <w:shd w:val="clear" w:fill="FFFFFF"/>
        </w:rPr>
        <w:t>局</w:t>
      </w:r>
      <w:r>
        <w:rPr>
          <w:rFonts w:hint="eastAsia" w:ascii="仿宋_GB2312" w:hAnsi="宋体" w:eastAsia="仿宋_GB2312" w:cs="仿宋_GB2312"/>
          <w:i w:val="0"/>
          <w:iCs w:val="0"/>
          <w:caps w:val="0"/>
          <w:color w:val="333333"/>
          <w:spacing w:val="0"/>
          <w:kern w:val="2"/>
          <w:sz w:val="31"/>
          <w:szCs w:val="31"/>
          <w:lang w:val="en-US" w:eastAsia="zh-CN" w:bidi="ar-SA"/>
        </w:rPr>
        <w:t>从严工作考核，对发现的问题及时整改落实。同时积极应对社会评议，确保对外公开的信息有数据支撑、有政策支持，2024年我局信息公开工作自觉主动接受社会评议，未发现责任追究、违反有关法律规定、造成不良影响或者严重后果的情况。</w:t>
      </w:r>
    </w:p>
    <w:p w14:paraId="71B35462">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14:paraId="22391C0B">
      <w:pPr>
        <w:widowControl/>
        <w:shd w:val="clear" w:color="auto" w:fill="FFFFFF"/>
        <w:ind w:firstLine="480"/>
        <w:rPr>
          <w:rFonts w:hint="eastAsia" w:ascii="宋体" w:hAnsi="宋体" w:eastAsia="宋体" w:cs="宋体"/>
          <w:color w:val="333333"/>
          <w:kern w:val="0"/>
          <w:sz w:val="24"/>
          <w:szCs w:val="24"/>
        </w:rPr>
      </w:pPr>
    </w:p>
    <w:p w14:paraId="0F34E5A0">
      <w:pPr>
        <w:widowControl/>
        <w:shd w:val="clear" w:color="auto" w:fill="FFFFFF"/>
        <w:ind w:firstLine="480"/>
        <w:jc w:val="center"/>
        <w:rPr>
          <w:rFonts w:hint="eastAsia" w:ascii="宋体" w:hAnsi="宋体" w:eastAsia="宋体" w:cs="宋体"/>
          <w:color w:val="333333"/>
          <w:kern w:val="0"/>
          <w:sz w:val="24"/>
          <w:szCs w:val="24"/>
        </w:rPr>
      </w:pPr>
    </w:p>
    <w:tbl>
      <w:tblPr>
        <w:tblStyle w:val="3"/>
        <w:tblW w:w="9740" w:type="dxa"/>
        <w:jc w:val="center"/>
        <w:tblLayout w:type="autofit"/>
        <w:tblCellMar>
          <w:top w:w="15" w:type="dxa"/>
          <w:left w:w="15" w:type="dxa"/>
          <w:bottom w:w="15" w:type="dxa"/>
          <w:right w:w="15" w:type="dxa"/>
        </w:tblCellMar>
      </w:tblPr>
      <w:tblGrid>
        <w:gridCol w:w="2435"/>
        <w:gridCol w:w="2435"/>
        <w:gridCol w:w="2435"/>
        <w:gridCol w:w="2435"/>
      </w:tblGrid>
      <w:tr w14:paraId="73CA5F12">
        <w:tblPrEx>
          <w:tblCellMar>
            <w:top w:w="15" w:type="dxa"/>
            <w:left w:w="15" w:type="dxa"/>
            <w:bottom w:w="15" w:type="dxa"/>
            <w:right w:w="15"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48BCECC1">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14:paraId="1ADEE9D1">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0D8741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EC9AAC5">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hint="eastAsia" w:ascii="宋体" w:hAnsi="宋体" w:eastAsia="宋体" w:cs="宋体"/>
                <w:kern w:val="0"/>
                <w:sz w:val="20"/>
                <w:szCs w:val="20"/>
              </w:rPr>
              <w:t>制发件数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01832F2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29C01B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hint="eastAsia" w:ascii="宋体" w:hAnsi="宋体" w:eastAsia="宋体" w:cs="宋体"/>
                <w:kern w:val="0"/>
                <w:sz w:val="20"/>
                <w:szCs w:val="20"/>
              </w:rPr>
              <w:t>数</w:t>
            </w:r>
          </w:p>
        </w:tc>
      </w:tr>
      <w:tr w14:paraId="57F737CC">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8C84BA4">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B50ACF6">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435AB050">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DFCA782">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242D0436">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0C26209">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0250FE79">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676514A1">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14:paraId="786C138C">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287120AC">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3C787C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14:paraId="0B1E21A7">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84AC0E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2C95507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064D9853">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E376B23">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7AC06510">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19</w:t>
            </w:r>
          </w:p>
        </w:tc>
      </w:tr>
      <w:tr w14:paraId="7F1BBB12">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715676A4">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14:paraId="4F2819AA">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753FAB8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3293E99">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14:paraId="222F3324">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312C9BF7">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4072773D">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14:paraId="3EF39482">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5099FE68">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14:paraId="6FD85E63">
            <w:pPr>
              <w:widowControl/>
              <w:jc w:val="left"/>
              <w:rPr>
                <w:rFonts w:hint="eastAsia" w:ascii="宋体" w:hAnsi="宋体" w:eastAsia="宋体" w:cs="宋体"/>
                <w:kern w:val="0"/>
                <w:sz w:val="24"/>
                <w:szCs w:val="24"/>
                <w:lang w:val="en-US" w:eastAsia="zh-CN"/>
              </w:rPr>
            </w:pPr>
            <w:r>
              <w:rPr>
                <w:rFonts w:hint="eastAsia" w:ascii="宋体" w:hAnsi="宋体" w:eastAsia="宋体" w:cs="宋体"/>
                <w:color w:val="000000"/>
                <w:kern w:val="0"/>
                <w:sz w:val="20"/>
                <w:szCs w:val="20"/>
              </w:rPr>
              <w:t>　</w:t>
            </w:r>
            <w:r>
              <w:rPr>
                <w:rFonts w:hint="eastAsia" w:ascii="宋体" w:hAnsi="宋体" w:cs="宋体"/>
                <w:color w:val="000000"/>
                <w:kern w:val="0"/>
                <w:sz w:val="20"/>
                <w:szCs w:val="20"/>
                <w:lang w:val="en-US" w:eastAsia="zh-CN"/>
              </w:rPr>
              <w:t>0</w:t>
            </w:r>
          </w:p>
        </w:tc>
      </w:tr>
      <w:tr w14:paraId="44043AC4">
        <w:tblPrEx>
          <w:tblCellMar>
            <w:top w:w="15" w:type="dxa"/>
            <w:left w:w="15" w:type="dxa"/>
            <w:bottom w:w="15" w:type="dxa"/>
            <w:right w:w="15"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14:paraId="0958A408">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14:paraId="620FED43">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AC5E443">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0F35E4EF">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14:paraId="26F8C288">
        <w:tblPrEx>
          <w:tblCellMar>
            <w:top w:w="15" w:type="dxa"/>
            <w:left w:w="15" w:type="dxa"/>
            <w:bottom w:w="15" w:type="dxa"/>
            <w:right w:w="15"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11D8CBDD">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14:paraId="6803239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14:paraId="0465F6D2">
      <w:pPr>
        <w:widowControl/>
        <w:shd w:val="clear" w:color="auto" w:fill="FFFFFF"/>
        <w:jc w:val="left"/>
        <w:rPr>
          <w:rFonts w:hint="eastAsia" w:ascii="宋体" w:hAnsi="宋体" w:eastAsia="宋体" w:cs="宋体"/>
          <w:color w:val="333333"/>
          <w:kern w:val="0"/>
          <w:sz w:val="24"/>
          <w:szCs w:val="24"/>
        </w:rPr>
      </w:pPr>
    </w:p>
    <w:p w14:paraId="05D0E50D">
      <w:pPr>
        <w:widowControl/>
        <w:shd w:val="clear" w:color="auto" w:fill="FFFFFF"/>
        <w:jc w:val="left"/>
        <w:rPr>
          <w:rFonts w:hint="eastAsia" w:ascii="宋体" w:hAnsi="宋体" w:eastAsia="宋体" w:cs="宋体"/>
          <w:color w:val="333333"/>
          <w:kern w:val="0"/>
          <w:sz w:val="24"/>
          <w:szCs w:val="24"/>
        </w:rPr>
      </w:pPr>
    </w:p>
    <w:p w14:paraId="0979EF77">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bookmarkStart w:id="0" w:name="_GoBack"/>
      <w:bookmarkEnd w:id="0"/>
    </w:p>
    <w:p w14:paraId="77E621FD">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br w:type="textWrapping"/>
      </w:r>
    </w:p>
    <w:p w14:paraId="4DA33812">
      <w:pPr>
        <w:widowControl/>
        <w:shd w:val="clear" w:color="auto" w:fill="FFFFFF"/>
        <w:ind w:firstLine="480"/>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768"/>
        <w:gridCol w:w="943"/>
        <w:gridCol w:w="3220"/>
        <w:gridCol w:w="688"/>
        <w:gridCol w:w="688"/>
        <w:gridCol w:w="688"/>
        <w:gridCol w:w="688"/>
        <w:gridCol w:w="688"/>
        <w:gridCol w:w="688"/>
        <w:gridCol w:w="689"/>
      </w:tblGrid>
      <w:tr w14:paraId="6E39609B">
        <w:tblPrEx>
          <w:tblCellMar>
            <w:top w:w="15" w:type="dxa"/>
            <w:left w:w="15" w:type="dxa"/>
            <w:bottom w:w="15" w:type="dxa"/>
            <w:right w:w="15" w:type="dxa"/>
          </w:tblCellMar>
        </w:tblPrEx>
        <w:trPr>
          <w:jc w:val="center"/>
        </w:trPr>
        <w:tc>
          <w:tcPr>
            <w:tcW w:w="5150"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14:paraId="54B2B5F8">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998"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3A38377">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14:paraId="59D62DF7">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3F4336AE">
            <w:pPr>
              <w:widowControl/>
              <w:jc w:val="left"/>
              <w:rPr>
                <w:rFonts w:ascii="宋体" w:hAnsi="宋体" w:eastAsia="宋体" w:cs="宋体"/>
                <w:kern w:val="0"/>
                <w:sz w:val="24"/>
                <w:szCs w:val="24"/>
              </w:rPr>
            </w:pPr>
          </w:p>
        </w:tc>
        <w:tc>
          <w:tcPr>
            <w:tcW w:w="714"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14:paraId="460AC170">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57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79B57F1F">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714"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14:paraId="4DED02D8">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14:paraId="5A1D3847">
        <w:tblPrEx>
          <w:tblCellMar>
            <w:top w:w="15" w:type="dxa"/>
            <w:left w:w="15" w:type="dxa"/>
            <w:bottom w:w="15" w:type="dxa"/>
            <w:right w:w="15"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14:paraId="55D0629A">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14:paraId="1E85A78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1F533C">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14:paraId="62D965A4">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82A1483">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14:paraId="063C45C5">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639055E0">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10206F1E">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14:paraId="4C3984F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14:paraId="4D54CDBD">
            <w:pPr>
              <w:widowControl/>
              <w:jc w:val="left"/>
              <w:rPr>
                <w:rFonts w:ascii="宋体" w:hAnsi="宋体" w:eastAsia="宋体" w:cs="宋体"/>
                <w:kern w:val="0"/>
                <w:sz w:val="24"/>
                <w:szCs w:val="24"/>
              </w:rPr>
            </w:pPr>
          </w:p>
        </w:tc>
      </w:tr>
      <w:tr w14:paraId="1417ADA8">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2D4D9CCB">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AC17C1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220E6E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60CCCE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98F1E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D2B49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898BF0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3E88D7">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7B81223">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69019FC">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0CC7F5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450C9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E700EE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84D69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37E610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4F2261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481EB24">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596D6726">
        <w:tblPrEx>
          <w:tblCellMar>
            <w:top w:w="15" w:type="dxa"/>
            <w:left w:w="15" w:type="dxa"/>
            <w:bottom w:w="15" w:type="dxa"/>
            <w:right w:w="15" w:type="dxa"/>
          </w:tblCellMar>
        </w:tblPrEx>
        <w:trPr>
          <w:jc w:val="center"/>
        </w:trPr>
        <w:tc>
          <w:tcPr>
            <w:tcW w:w="785"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14:paraId="523C93B6">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03AE5F2E">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4C5B24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00497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9BC009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1F5BB1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F78CCE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358C4C8">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2528BE9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447DDB28">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5158497">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858DE1B">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084E16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7F4C3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209B8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051868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CA6E3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52BD63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2A31280">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320676F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DF1949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74E3FDD3">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F6B4F04">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F5D77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8B5B3D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EFC9A4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6C61A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4D0DD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57DA9EC">
            <w:pPr>
              <w:widowControl/>
              <w:jc w:val="left"/>
              <w:rPr>
                <w:rFonts w:ascii="宋体" w:hAnsi="宋体" w:eastAsia="宋体" w:cs="宋体"/>
                <w:kern w:val="0"/>
                <w:sz w:val="24"/>
                <w:szCs w:val="24"/>
              </w:rPr>
            </w:pPr>
          </w:p>
        </w:tc>
        <w:tc>
          <w:tcPr>
            <w:tcW w:w="714" w:type="dxa"/>
            <w:tcBorders>
              <w:top w:val="single" w:color="auto" w:sz="8" w:space="0"/>
              <w:left w:val="nil"/>
              <w:bottom w:val="single" w:color="auto" w:sz="8" w:space="0"/>
              <w:right w:val="single" w:color="auto" w:sz="8" w:space="0"/>
            </w:tcBorders>
            <w:tcMar>
              <w:top w:w="0" w:type="dxa"/>
              <w:left w:w="57" w:type="dxa"/>
              <w:bottom w:w="0" w:type="dxa"/>
              <w:right w:w="57" w:type="dxa"/>
            </w:tcMar>
          </w:tcPr>
          <w:p w14:paraId="137C238E">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07D20DB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0B444EE">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F09706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9D8A8C8">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EA35A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DBD71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4AE9A9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93FB15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409465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7B87D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35508E9">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78E22AC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789A502">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2CB6564A">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FB3218F">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D57DCA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18D2A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52BA86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9FFF6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4DE47E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24FEA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72E71F9">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FB14D20">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6897A93C">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AB1984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E86214D">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1A9A08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37798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A19D4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32554E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73EBDB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09CB5C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7B7CD74">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3826A10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81B4748">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5719ED9F">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0A9774C">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B5BB81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F1E7A4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9B7AD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8F234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1D015D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D2529A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84AEF17">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4C07AFA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49C942D">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9B58C7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2802E064">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209C2C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656648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47BE8C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0989DE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94B025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E8078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E265A49">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2A9C943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7C8D9B0">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B80B0C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E2EB1C9">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2DAD8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B7B60F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922BAF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3C8D35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2F3EFA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9BD60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56C264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68E1EED">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0C3BEB24">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41026B25">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685CA2B">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24873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06643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9E9F4C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85C498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471C4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E63189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8F72E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B4BE1DC">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AC90859">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ADADFCD">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324884A4">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6A7CE4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15ADC0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5CB04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10DA1D">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02CE49">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B205D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335EFE7">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E497AC9">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B23BACA">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36AAEC8F">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5602B91D">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D859B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296BC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2DFD3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A663A7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C83E5A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3BF74F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E787E40">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7F5691C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735B60C1">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19F021DA">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60C4F8D7">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293E6F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D182F0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FBE730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53648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28A12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D8CE27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8E8BEE">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31D20BB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CC99153">
            <w:pPr>
              <w:widowControl/>
              <w:jc w:val="left"/>
              <w:rPr>
                <w:rFonts w:ascii="宋体" w:hAnsi="宋体" w:eastAsia="宋体" w:cs="宋体"/>
                <w:kern w:val="0"/>
                <w:sz w:val="24"/>
                <w:szCs w:val="24"/>
              </w:rPr>
            </w:pPr>
          </w:p>
        </w:tc>
        <w:tc>
          <w:tcPr>
            <w:tcW w:w="959"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14:paraId="0D9E6663">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7384E00">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F074C9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5A9E44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F1B8F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06146F5">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9D0DC5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C4E6E6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4E352C5">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7AC80CA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9728077">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191F30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09F9536C">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05AC3D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B8896D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6DEAB3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2AA930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21B8837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687EEE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AF7874A">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0DFF76F4">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12ADC03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77064D66">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7FA8C0D7">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CCFA91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E1D75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67500F5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A92C5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9F2D3F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264D52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3F2DB146">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3BFDBD91">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526D8B86">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675EC0F1">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tcPr>
          <w:p w14:paraId="13A723CC">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BA245C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71D11B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4B3ED35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E9ECBB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AAB7A3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08D394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055F3CB7">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2F04703B">
        <w:tblPrEx>
          <w:tblCellMar>
            <w:top w:w="15" w:type="dxa"/>
            <w:left w:w="15" w:type="dxa"/>
            <w:bottom w:w="15" w:type="dxa"/>
            <w:right w:w="15"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14:paraId="313789B9">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14:paraId="0D29C641">
            <w:pPr>
              <w:widowControl/>
              <w:jc w:val="left"/>
              <w:rPr>
                <w:rFonts w:ascii="宋体" w:hAnsi="宋体" w:eastAsia="宋体" w:cs="宋体"/>
                <w:kern w:val="0"/>
                <w:sz w:val="24"/>
                <w:szCs w:val="24"/>
              </w:rPr>
            </w:pPr>
          </w:p>
        </w:tc>
        <w:tc>
          <w:tcPr>
            <w:tcW w:w="3406" w:type="dxa"/>
            <w:tcBorders>
              <w:top w:val="nil"/>
              <w:left w:val="nil"/>
              <w:bottom w:val="inset" w:color="auto" w:sz="8" w:space="0"/>
              <w:right w:val="single" w:color="auto" w:sz="8" w:space="0"/>
            </w:tcBorders>
            <w:tcMar>
              <w:top w:w="0" w:type="dxa"/>
              <w:left w:w="57" w:type="dxa"/>
              <w:bottom w:w="0" w:type="dxa"/>
              <w:right w:w="57" w:type="dxa"/>
            </w:tcMar>
            <w:vAlign w:val="center"/>
          </w:tcPr>
          <w:p w14:paraId="41899475">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11F4ADDB">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56631037">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4954B62C">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F9AA550">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F2276C6">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618AA643">
            <w:pPr>
              <w:widowControl/>
              <w:jc w:val="left"/>
              <w:rPr>
                <w:rFonts w:ascii="宋体" w:hAnsi="宋体" w:eastAsia="宋体" w:cs="宋体"/>
                <w:kern w:val="0"/>
                <w:sz w:val="24"/>
                <w:szCs w:val="24"/>
              </w:rPr>
            </w:pPr>
          </w:p>
        </w:tc>
        <w:tc>
          <w:tcPr>
            <w:tcW w:w="714" w:type="dxa"/>
            <w:tcBorders>
              <w:top w:val="nil"/>
              <w:left w:val="nil"/>
              <w:bottom w:val="inset" w:color="auto" w:sz="8" w:space="0"/>
              <w:right w:val="single" w:color="auto" w:sz="8" w:space="0"/>
            </w:tcBorders>
            <w:tcMar>
              <w:top w:w="0" w:type="dxa"/>
              <w:left w:w="57" w:type="dxa"/>
              <w:bottom w:w="0" w:type="dxa"/>
              <w:right w:w="57" w:type="dxa"/>
            </w:tcMar>
          </w:tcPr>
          <w:p w14:paraId="2544799A">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C30466F">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20E805E">
            <w:pPr>
              <w:widowControl/>
              <w:jc w:val="left"/>
              <w:rPr>
                <w:rFonts w:ascii="宋体" w:hAnsi="宋体" w:eastAsia="宋体" w:cs="宋体"/>
                <w:kern w:val="0"/>
                <w:sz w:val="24"/>
                <w:szCs w:val="24"/>
              </w:rPr>
            </w:pPr>
          </w:p>
        </w:tc>
        <w:tc>
          <w:tcPr>
            <w:tcW w:w="959"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14:paraId="7B0F0807">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CF88BC7">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6D62A2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95DDC1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5A2BCB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C1273F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D68B6A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AF12D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13D836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1CC102B3">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3BDDECAB">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5A27D059">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3D29B5C9">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8952BDF">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F0C6AE7">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84A761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1D1A2C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131DA7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C61BAE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6916263">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5F1AE222">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242F996B">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14:paraId="41F7D074">
            <w:pPr>
              <w:widowControl/>
              <w:jc w:val="left"/>
              <w:rPr>
                <w:rFonts w:ascii="宋体" w:hAnsi="宋体" w:eastAsia="宋体" w:cs="宋体"/>
                <w:kern w:val="0"/>
                <w:sz w:val="24"/>
                <w:szCs w:val="24"/>
              </w:rPr>
            </w:pPr>
          </w:p>
        </w:tc>
        <w:tc>
          <w:tcPr>
            <w:tcW w:w="3406" w:type="dxa"/>
            <w:tcBorders>
              <w:top w:val="nil"/>
              <w:left w:val="nil"/>
              <w:bottom w:val="single" w:color="auto" w:sz="8" w:space="0"/>
              <w:right w:val="single" w:color="auto" w:sz="8" w:space="0"/>
            </w:tcBorders>
            <w:tcMar>
              <w:top w:w="0" w:type="dxa"/>
              <w:left w:w="57" w:type="dxa"/>
              <w:bottom w:w="0" w:type="dxa"/>
              <w:right w:w="57" w:type="dxa"/>
            </w:tcMar>
            <w:vAlign w:val="center"/>
          </w:tcPr>
          <w:p w14:paraId="1736B181">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7330926">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34CA531">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B4DAF7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B7A12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AD230E8">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6BB950AC">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1FDF3446">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1AC0E997">
        <w:tblPrEx>
          <w:tblCellMar>
            <w:top w:w="15" w:type="dxa"/>
            <w:left w:w="15" w:type="dxa"/>
            <w:bottom w:w="15" w:type="dxa"/>
            <w:right w:w="15"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14:paraId="4FE589E6">
            <w:pPr>
              <w:widowControl/>
              <w:jc w:val="left"/>
              <w:rPr>
                <w:rFonts w:ascii="宋体" w:hAnsi="宋体" w:eastAsia="宋体" w:cs="宋体"/>
                <w:kern w:val="0"/>
                <w:sz w:val="24"/>
                <w:szCs w:val="24"/>
              </w:rPr>
            </w:pPr>
          </w:p>
        </w:tc>
        <w:tc>
          <w:tcPr>
            <w:tcW w:w="4365"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14:paraId="76226257">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2A690B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AD93C43">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A7DCF3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6C5EC5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757EC744">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456DD53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5FE28406">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r w14:paraId="648D571B">
        <w:tblPrEx>
          <w:tblCellMar>
            <w:top w:w="15" w:type="dxa"/>
            <w:left w:w="15" w:type="dxa"/>
            <w:bottom w:w="15" w:type="dxa"/>
            <w:right w:w="15" w:type="dxa"/>
          </w:tblCellMar>
        </w:tblPrEx>
        <w:trPr>
          <w:jc w:val="center"/>
        </w:trPr>
        <w:tc>
          <w:tcPr>
            <w:tcW w:w="5150"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14:paraId="48EE7C50">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D25BEC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37E8C410">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2767D982">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59A2A67A">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1AF2318B">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vAlign w:val="center"/>
          </w:tcPr>
          <w:p w14:paraId="0E4822EE">
            <w:pPr>
              <w:widowControl/>
              <w:jc w:val="left"/>
              <w:rPr>
                <w:rFonts w:ascii="宋体" w:hAnsi="宋体" w:eastAsia="宋体" w:cs="宋体"/>
                <w:kern w:val="0"/>
                <w:sz w:val="24"/>
                <w:szCs w:val="24"/>
              </w:rPr>
            </w:pPr>
          </w:p>
        </w:tc>
        <w:tc>
          <w:tcPr>
            <w:tcW w:w="714" w:type="dxa"/>
            <w:tcBorders>
              <w:top w:val="nil"/>
              <w:left w:val="nil"/>
              <w:bottom w:val="single" w:color="auto" w:sz="8" w:space="0"/>
              <w:right w:val="single" w:color="auto" w:sz="8" w:space="0"/>
            </w:tcBorders>
            <w:tcMar>
              <w:top w:w="0" w:type="dxa"/>
              <w:left w:w="57" w:type="dxa"/>
              <w:bottom w:w="0" w:type="dxa"/>
              <w:right w:w="57" w:type="dxa"/>
            </w:tcMar>
          </w:tcPr>
          <w:p w14:paraId="788B0B0C">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14:paraId="2969DDE0">
      <w:pPr>
        <w:widowControl/>
        <w:shd w:val="clear" w:color="auto" w:fill="FFFFFF"/>
        <w:jc w:val="center"/>
        <w:rPr>
          <w:rFonts w:hint="eastAsia" w:ascii="宋体" w:hAnsi="宋体" w:eastAsia="宋体" w:cs="宋体"/>
          <w:color w:val="333333"/>
          <w:kern w:val="0"/>
          <w:sz w:val="24"/>
          <w:szCs w:val="24"/>
        </w:rPr>
      </w:pPr>
    </w:p>
    <w:p w14:paraId="5403ED5C">
      <w:pPr>
        <w:widowControl/>
        <w:shd w:val="clear" w:color="auto" w:fill="FFFFFF"/>
        <w:jc w:val="left"/>
        <w:rPr>
          <w:rFonts w:hint="eastAsia" w:ascii="宋体" w:hAnsi="宋体" w:eastAsia="宋体" w:cs="宋体"/>
          <w:color w:val="333333"/>
          <w:kern w:val="0"/>
          <w:sz w:val="24"/>
          <w:szCs w:val="24"/>
        </w:rPr>
      </w:pPr>
    </w:p>
    <w:p w14:paraId="3DAAA886">
      <w:pPr>
        <w:widowControl/>
        <w:shd w:val="clear" w:color="auto" w:fill="FFFFFF"/>
        <w:ind w:firstLine="480"/>
        <w:rPr>
          <w:rFonts w:hint="eastAsia"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14:paraId="1D2B4E37">
      <w:pPr>
        <w:widowControl/>
        <w:shd w:val="clear" w:color="auto" w:fill="FFFFFF"/>
        <w:ind w:firstLine="480"/>
        <w:rPr>
          <w:rFonts w:hint="eastAsia" w:ascii="宋体" w:hAnsi="宋体" w:eastAsia="宋体" w:cs="宋体"/>
          <w:color w:val="333333"/>
          <w:kern w:val="0"/>
          <w:sz w:val="24"/>
          <w:szCs w:val="24"/>
        </w:rPr>
      </w:pPr>
    </w:p>
    <w:p w14:paraId="01ACA138">
      <w:pPr>
        <w:widowControl/>
        <w:shd w:val="clear" w:color="auto" w:fill="FFFFFF"/>
        <w:jc w:val="center"/>
        <w:rPr>
          <w:rFonts w:hint="eastAsia" w:ascii="宋体" w:hAnsi="宋体" w:eastAsia="宋体" w:cs="宋体"/>
          <w:color w:val="333333"/>
          <w:kern w:val="0"/>
          <w:sz w:val="24"/>
          <w:szCs w:val="24"/>
        </w:rPr>
      </w:pPr>
    </w:p>
    <w:tbl>
      <w:tblPr>
        <w:tblStyle w:val="3"/>
        <w:tblW w:w="9748" w:type="dxa"/>
        <w:jc w:val="center"/>
        <w:tblLayout w:type="autofit"/>
        <w:tblCellMar>
          <w:top w:w="15" w:type="dxa"/>
          <w:left w:w="15" w:type="dxa"/>
          <w:bottom w:w="15" w:type="dxa"/>
          <w:right w:w="15"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3DAB15CA">
        <w:tblPrEx>
          <w:tblCellMar>
            <w:top w:w="15" w:type="dxa"/>
            <w:left w:w="15" w:type="dxa"/>
            <w:bottom w:w="15" w:type="dxa"/>
            <w:right w:w="15"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ACE6E9E">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354004">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14:paraId="0A19ED38">
        <w:tblPrEx>
          <w:tblCellMar>
            <w:top w:w="15" w:type="dxa"/>
            <w:left w:w="15" w:type="dxa"/>
            <w:bottom w:w="15" w:type="dxa"/>
            <w:right w:w="15"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8E661F">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6252D01">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1DCBA0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62C646C6">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B3E3866">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8B0B54F">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32098CA">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14:paraId="156DCC65">
        <w:tblPrEx>
          <w:tblCellMar>
            <w:top w:w="15" w:type="dxa"/>
            <w:left w:w="15" w:type="dxa"/>
            <w:bottom w:w="15" w:type="dxa"/>
            <w:right w:w="15"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14:paraId="7DB24CCE">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14:paraId="3349A7F2">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62580960">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562FACC0">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14:paraId="7762FC63">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F52999">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44CE105">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028231C">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29A2529">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2BFB2FBD">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CA7DEAC">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143BF265">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53821CE7">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0EB4A4C5">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4F83F7A6">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14:paraId="2CB35789">
        <w:tblPrEx>
          <w:tblCellMar>
            <w:top w:w="15" w:type="dxa"/>
            <w:left w:w="15" w:type="dxa"/>
            <w:bottom w:w="15" w:type="dxa"/>
            <w:right w:w="15"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6723ED">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0E0A709">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9073DD">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DFFC37">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D70001D">
            <w:pPr>
              <w:widowControl/>
              <w:jc w:val="left"/>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207E60">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C5F5B17">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2DC596F">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11CC51B">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EC133E8">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E2E9665">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B7A2573">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F909DB">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76AF91D">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FD0BA1">
            <w:pPr>
              <w:widowControl/>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0</w:t>
            </w:r>
          </w:p>
        </w:tc>
      </w:tr>
    </w:tbl>
    <w:p w14:paraId="5D73C5E1">
      <w:pPr>
        <w:widowControl/>
        <w:shd w:val="clear" w:color="auto" w:fill="FFFFFF"/>
        <w:jc w:val="left"/>
        <w:rPr>
          <w:rFonts w:hint="eastAsia" w:ascii="宋体" w:hAnsi="宋体" w:eastAsia="宋体" w:cs="宋体"/>
          <w:color w:val="333333"/>
          <w:kern w:val="0"/>
          <w:sz w:val="24"/>
          <w:szCs w:val="24"/>
        </w:rPr>
      </w:pPr>
    </w:p>
    <w:p w14:paraId="3327E31A">
      <w:pPr>
        <w:widowControl/>
        <w:shd w:val="clear" w:color="auto" w:fill="FFFFFF"/>
        <w:jc w:val="left"/>
        <w:rPr>
          <w:rFonts w:hint="eastAsia" w:ascii="宋体" w:hAnsi="宋体" w:eastAsia="宋体" w:cs="宋体"/>
          <w:color w:val="333333"/>
          <w:kern w:val="0"/>
          <w:sz w:val="24"/>
          <w:szCs w:val="24"/>
        </w:rPr>
      </w:pPr>
    </w:p>
    <w:p w14:paraId="22543890">
      <w:pPr>
        <w:widowControl/>
        <w:shd w:val="clear" w:color="auto" w:fill="FFFFFF"/>
        <w:ind w:firstLine="480"/>
        <w:rPr>
          <w:rFonts w:hint="eastAsia" w:ascii="黑体" w:hAnsi="黑体" w:eastAsia="黑体" w:cs="黑体"/>
          <w:b/>
          <w:bCs/>
          <w:color w:val="333333"/>
          <w:kern w:val="0"/>
          <w:sz w:val="32"/>
          <w:szCs w:val="32"/>
        </w:rPr>
      </w:pPr>
      <w:r>
        <w:rPr>
          <w:rFonts w:hint="eastAsia" w:ascii="黑体" w:hAnsi="黑体" w:eastAsia="黑体" w:cs="黑体"/>
          <w:b/>
          <w:bCs/>
          <w:color w:val="333333"/>
          <w:kern w:val="0"/>
          <w:sz w:val="32"/>
          <w:szCs w:val="32"/>
        </w:rPr>
        <w:t>五、存在的主要问题及改进情况</w:t>
      </w:r>
    </w:p>
    <w:p w14:paraId="7417DDE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微软雅黑" w:hAnsi="微软雅黑" w:eastAsia="微软雅黑" w:cs="微软雅黑"/>
          <w:i w:val="0"/>
          <w:iCs w:val="0"/>
          <w:caps w:val="0"/>
          <w:color w:val="3D3D3D"/>
          <w:spacing w:val="0"/>
          <w:sz w:val="24"/>
          <w:szCs w:val="24"/>
          <w:shd w:val="clear" w:fill="FFFFFF"/>
        </w:rPr>
        <w:t xml:space="preserve">  </w:t>
      </w:r>
      <w:r>
        <w:rPr>
          <w:rFonts w:hint="eastAsia" w:ascii="楷体" w:hAnsi="楷体" w:eastAsia="楷体" w:cs="楷体"/>
          <w:b/>
          <w:bCs/>
          <w:i w:val="0"/>
          <w:iCs w:val="0"/>
          <w:caps w:val="0"/>
          <w:color w:val="3D3D3D"/>
          <w:spacing w:val="0"/>
          <w:sz w:val="32"/>
          <w:szCs w:val="32"/>
          <w:shd w:val="clear" w:fill="FFFFFF"/>
        </w:rPr>
        <w:t>（一）存在问题</w:t>
      </w:r>
      <w:r>
        <w:rPr>
          <w:rFonts w:hint="eastAsia" w:ascii="楷体" w:hAnsi="楷体" w:eastAsia="楷体" w:cs="楷体"/>
          <w:b/>
          <w:bCs/>
          <w:i w:val="0"/>
          <w:iCs w:val="0"/>
          <w:caps w:val="0"/>
          <w:color w:val="3D3D3D"/>
          <w:spacing w:val="0"/>
          <w:sz w:val="32"/>
          <w:szCs w:val="32"/>
          <w:shd w:val="clear" w:fill="FFFFFF"/>
          <w:lang w:eastAsia="zh-CN"/>
        </w:rPr>
        <w:t>。</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一是少数科室对政务公开工作的重要性、时效性认识不足，公开有不及时的情况。二是负责政府信息公开的工作人员的业务素质和能力还需要进一步提高，以适应新形势下对政务公开工作的新要求。    </w:t>
      </w:r>
    </w:p>
    <w:p w14:paraId="7A4A89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textAlignment w:val="auto"/>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 xml:space="preserve">    </w:t>
      </w:r>
      <w:r>
        <w:rPr>
          <w:rFonts w:hint="eastAsia" w:ascii="楷体" w:hAnsi="楷体" w:eastAsia="楷体" w:cs="楷体"/>
          <w:b/>
          <w:bCs/>
          <w:i w:val="0"/>
          <w:iCs w:val="0"/>
          <w:caps w:val="0"/>
          <w:color w:val="3D3D3D"/>
          <w:spacing w:val="0"/>
          <w:sz w:val="32"/>
          <w:szCs w:val="32"/>
          <w:shd w:val="clear" w:fill="FFFFFF"/>
          <w:lang w:val="en-US" w:eastAsia="zh-CN"/>
        </w:rPr>
        <w:t> （二）下步工作计划。</w:t>
      </w: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我局将围绕机制完善提升质量、工作创新丰富内容加强政务公开工作。一是以完善内部制度、规范办理流程、严格审核标准为抓手，加强对拟公开事项的内容审查，从源头上提升政务公开工作质量。二是加大培训力度，压实各科室责任，多形式、多维度、多层面拓展信息公开渠道和丰富公开内容。   </w:t>
      </w:r>
    </w:p>
    <w:p w14:paraId="42A53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643" w:firstLineChars="200"/>
        <w:rPr>
          <w:rFonts w:hint="eastAsia" w:ascii="黑体" w:hAnsi="黑体" w:eastAsia="黑体" w:cs="黑体"/>
          <w:b/>
          <w:bCs/>
          <w:i w:val="0"/>
          <w:iCs w:val="0"/>
          <w:caps w:val="0"/>
          <w:color w:val="333333"/>
          <w:spacing w:val="0"/>
          <w:sz w:val="32"/>
          <w:szCs w:val="32"/>
        </w:rPr>
      </w:pPr>
      <w:r>
        <w:rPr>
          <w:rFonts w:hint="eastAsia" w:ascii="黑体" w:hAnsi="黑体" w:eastAsia="黑体" w:cs="黑体"/>
          <w:b/>
          <w:bCs/>
          <w:color w:val="333333"/>
          <w:kern w:val="0"/>
          <w:sz w:val="32"/>
          <w:szCs w:val="32"/>
        </w:rPr>
        <w:t>六、其他需要报告的事项</w:t>
      </w:r>
      <w:r>
        <w:rPr>
          <w:rFonts w:hint="eastAsia" w:ascii="黑体" w:hAnsi="黑体" w:eastAsia="黑体" w:cs="黑体"/>
          <w:b/>
          <w:bCs/>
          <w:i w:val="0"/>
          <w:iCs w:val="0"/>
          <w:caps w:val="0"/>
          <w:color w:val="333333"/>
          <w:spacing w:val="0"/>
          <w:sz w:val="32"/>
          <w:szCs w:val="32"/>
          <w:shd w:val="clear" w:fill="FFFFFF"/>
        </w:rPr>
        <w:t> </w:t>
      </w:r>
    </w:p>
    <w:p w14:paraId="0C1394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2024年，我局未产生政府信息处理费收取情况。</w:t>
      </w:r>
    </w:p>
    <w:p w14:paraId="19E89A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640" w:firstLineChars="2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p>
    <w:p w14:paraId="0732FE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480" w:firstLineChars="1400"/>
        <w:jc w:val="left"/>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尧都区市场监督管理局</w:t>
      </w:r>
    </w:p>
    <w:p w14:paraId="66770C0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15" w:lineRule="atLeast"/>
        <w:ind w:right="0" w:firstLine="4800" w:firstLineChars="1500"/>
        <w:jc w:val="left"/>
        <w:rPr>
          <w:rFonts w:hint="default" w:ascii="仿宋_GB2312" w:hAnsi="仿宋_GB2312" w:eastAsia="仿宋_GB2312" w:cs="仿宋_GB2312"/>
          <w:i w:val="0"/>
          <w:iCs w:val="0"/>
          <w:caps w:val="0"/>
          <w:color w:val="3D3D3D"/>
          <w:spacing w:val="0"/>
          <w:kern w:val="0"/>
          <w:sz w:val="32"/>
          <w:szCs w:val="32"/>
          <w:shd w:val="clear" w:fill="FFFFFF"/>
          <w:lang w:val="en-US" w:eastAsia="zh-CN" w:bidi="ar"/>
        </w:rPr>
      </w:pPr>
      <w: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t>2025年1月16日</w:t>
      </w:r>
    </w:p>
    <w:p w14:paraId="227DEF9E">
      <w:pPr>
        <w:rPr>
          <w:rFonts w:hint="eastAsia" w:ascii="仿宋_GB2312" w:hAnsi="仿宋_GB2312" w:eastAsia="仿宋_GB2312" w:cs="仿宋_GB2312"/>
          <w:i w:val="0"/>
          <w:iCs w:val="0"/>
          <w:caps w:val="0"/>
          <w:color w:val="3D3D3D"/>
          <w:spacing w:val="0"/>
          <w:kern w:val="0"/>
          <w:sz w:val="32"/>
          <w:szCs w:val="32"/>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BA0FE3"/>
    <w:multiLevelType w:val="singleLevel"/>
    <w:tmpl w:val="F8BA0FE3"/>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07716E"/>
    <w:rsid w:val="05D610DF"/>
    <w:rsid w:val="0AC77248"/>
    <w:rsid w:val="0B8B64C8"/>
    <w:rsid w:val="0FFA1E6E"/>
    <w:rsid w:val="153E3968"/>
    <w:rsid w:val="171C091C"/>
    <w:rsid w:val="1881137E"/>
    <w:rsid w:val="1B285AE1"/>
    <w:rsid w:val="1CB13A5E"/>
    <w:rsid w:val="1E285DF8"/>
    <w:rsid w:val="1E6E5F01"/>
    <w:rsid w:val="24893E4C"/>
    <w:rsid w:val="29363ABF"/>
    <w:rsid w:val="2CE60D5C"/>
    <w:rsid w:val="30A60FDC"/>
    <w:rsid w:val="320133AC"/>
    <w:rsid w:val="47CA56A6"/>
    <w:rsid w:val="4AB4263E"/>
    <w:rsid w:val="4B5856BF"/>
    <w:rsid w:val="53E47AF0"/>
    <w:rsid w:val="562C2C6E"/>
    <w:rsid w:val="5E127950"/>
    <w:rsid w:val="5F07716E"/>
    <w:rsid w:val="61E82EA1"/>
    <w:rsid w:val="68776D2D"/>
    <w:rsid w:val="6CD60AC3"/>
    <w:rsid w:val="72086C48"/>
    <w:rsid w:val="752B5127"/>
    <w:rsid w:val="79DF2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2036</Words>
  <Characters>2079</Characters>
  <Lines>0</Lines>
  <Paragraphs>0</Paragraphs>
  <TotalTime>75</TotalTime>
  <ScaleCrop>false</ScaleCrop>
  <LinksUpToDate>false</LinksUpToDate>
  <CharactersWithSpaces>2098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2025-01-08T07:47:00Z</dcterms:created>
  <dc:creator>小雒</dc:creator>
  <cp:lastModifiedBy>人勤春早</cp:lastModifiedBy>
  <dcterms:modified xsi:type="dcterms:W3CDTF">2025-01-16T02:41:54Z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19D97730FBB04FF2A9D4DEDDB42E4BB1_13</vt:lpwstr>
  </property>
  <property fmtid="{D5CDD505-2E9C-101B-9397-08002B2CF9AE}" pid="4" name="KSOTemplateDocerSaveRecord">
    <vt:lpwstr>eyJoZGlkIjoiODQ3ODljMmE0OWRiN2FmMWVhZWIyMmU2MGRkMDM1MWIiLCJ1c2VySWQiOiI1MTc4NDc3NTgifQ==</vt:lpwstr>
  </property>
</Properties>
</file>