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尧都区市场监督管理局</w:t>
      </w:r>
    </w:p>
    <w:p>
      <w:pPr>
        <w:bidi w:val="0"/>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2024年政府信息公开工作年度报告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right="0" w:firstLine="643" w:firstLineChars="200"/>
        <w:rPr>
          <w:rFonts w:hint="eastAsia" w:ascii="黑体" w:hAnsi="黑体" w:eastAsia="黑体" w:cs="黑体"/>
          <w:b/>
          <w:bCs/>
          <w:color w:val="333333"/>
          <w:kern w:val="0"/>
          <w:sz w:val="32"/>
          <w:szCs w:val="32"/>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right="0" w:firstLine="643" w:firstLineChars="200"/>
        <w:rPr>
          <w:rFonts w:hint="eastAsia" w:ascii="黑体" w:hAnsi="黑体" w:eastAsia="黑体" w:cs="黑体"/>
          <w:b/>
          <w:bCs/>
          <w:color w:val="333333"/>
          <w:kern w:val="0"/>
          <w:sz w:val="32"/>
          <w:szCs w:val="32"/>
          <w:lang w:val="en-US" w:eastAsia="zh-CN" w:bidi="ar-SA"/>
        </w:rPr>
      </w:pPr>
      <w:r>
        <w:rPr>
          <w:rFonts w:hint="eastAsia" w:ascii="黑体" w:hAnsi="黑体" w:eastAsia="黑体" w:cs="黑体"/>
          <w:b/>
          <w:bCs/>
          <w:color w:val="333333"/>
          <w:kern w:val="0"/>
          <w:sz w:val="32"/>
          <w:szCs w:val="32"/>
          <w:lang w:val="en-US" w:eastAsia="zh-CN" w:bidi="ar-SA"/>
        </w:rPr>
        <w:t>一、总体情况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仿宋_GB2312" w:hAnsi="仿宋_GB2312" w:eastAsia="仿宋_GB2312" w:cs="仿宋_GB2312"/>
          <w:i w:val="0"/>
          <w:iCs w:val="0"/>
          <w:caps w:val="0"/>
          <w:color w:val="3D3D3D"/>
          <w:spacing w:val="0"/>
          <w:sz w:val="32"/>
          <w:szCs w:val="32"/>
          <w:shd w:val="clear" w:fill="FFFFFF"/>
        </w:rPr>
      </w:pPr>
      <w:r>
        <w:rPr>
          <w:rFonts w:hint="eastAsia" w:ascii="仿宋_GB2312" w:hAnsi="仿宋_GB2312" w:eastAsia="仿宋_GB2312" w:cs="仿宋_GB2312"/>
          <w:i w:val="0"/>
          <w:iCs w:val="0"/>
          <w:caps w:val="0"/>
          <w:color w:val="3D3D3D"/>
          <w:spacing w:val="0"/>
          <w:sz w:val="32"/>
          <w:szCs w:val="32"/>
          <w:shd w:val="clear" w:fill="FFFFFF"/>
        </w:rPr>
        <w:t>2024年，在</w:t>
      </w:r>
      <w:r>
        <w:rPr>
          <w:rFonts w:hint="eastAsia" w:ascii="仿宋_GB2312" w:hAnsi="仿宋_GB2312" w:eastAsia="仿宋_GB2312" w:cs="仿宋_GB2312"/>
          <w:i w:val="0"/>
          <w:iCs w:val="0"/>
          <w:caps w:val="0"/>
          <w:color w:val="3D3D3D"/>
          <w:spacing w:val="0"/>
          <w:sz w:val="32"/>
          <w:szCs w:val="32"/>
          <w:shd w:val="clear" w:fill="FFFFFF"/>
          <w:lang w:val="en-US" w:eastAsia="zh-CN"/>
        </w:rPr>
        <w:t>区</w:t>
      </w:r>
      <w:r>
        <w:rPr>
          <w:rFonts w:hint="eastAsia" w:ascii="仿宋_GB2312" w:hAnsi="仿宋_GB2312" w:eastAsia="仿宋_GB2312" w:cs="仿宋_GB2312"/>
          <w:i w:val="0"/>
          <w:iCs w:val="0"/>
          <w:caps w:val="0"/>
          <w:color w:val="3D3D3D"/>
          <w:spacing w:val="0"/>
          <w:sz w:val="32"/>
          <w:szCs w:val="32"/>
          <w:shd w:val="clear" w:fill="FFFFFF"/>
        </w:rPr>
        <w:t>委、</w:t>
      </w:r>
      <w:r>
        <w:rPr>
          <w:rFonts w:hint="eastAsia" w:ascii="仿宋_GB2312" w:hAnsi="仿宋_GB2312" w:eastAsia="仿宋_GB2312" w:cs="仿宋_GB2312"/>
          <w:i w:val="0"/>
          <w:iCs w:val="0"/>
          <w:caps w:val="0"/>
          <w:color w:val="3D3D3D"/>
          <w:spacing w:val="0"/>
          <w:sz w:val="32"/>
          <w:szCs w:val="32"/>
          <w:shd w:val="clear" w:fill="FFFFFF"/>
          <w:lang w:val="en-US" w:eastAsia="zh-CN"/>
        </w:rPr>
        <w:t>区</w:t>
      </w:r>
      <w:r>
        <w:rPr>
          <w:rFonts w:hint="eastAsia" w:ascii="仿宋_GB2312" w:hAnsi="仿宋_GB2312" w:eastAsia="仿宋_GB2312" w:cs="仿宋_GB2312"/>
          <w:i w:val="0"/>
          <w:iCs w:val="0"/>
          <w:caps w:val="0"/>
          <w:color w:val="3D3D3D"/>
          <w:spacing w:val="0"/>
          <w:sz w:val="32"/>
          <w:szCs w:val="32"/>
          <w:shd w:val="clear" w:fill="FFFFFF"/>
        </w:rPr>
        <w:t>政府的正确领导</w:t>
      </w:r>
      <w:r>
        <w:rPr>
          <w:rFonts w:hint="eastAsia" w:ascii="仿宋_GB2312" w:hAnsi="仿宋_GB2312" w:eastAsia="仿宋_GB2312" w:cs="仿宋_GB2312"/>
          <w:i w:val="0"/>
          <w:iCs w:val="0"/>
          <w:caps w:val="0"/>
          <w:color w:val="3D3D3D"/>
          <w:spacing w:val="0"/>
          <w:sz w:val="32"/>
          <w:szCs w:val="32"/>
          <w:shd w:val="clear" w:fill="FFFFFF"/>
          <w:lang w:val="en-US" w:eastAsia="zh-CN"/>
        </w:rPr>
        <w:t>下</w:t>
      </w:r>
      <w:r>
        <w:rPr>
          <w:rFonts w:hint="eastAsia" w:ascii="仿宋_GB2312" w:hAnsi="仿宋_GB2312" w:eastAsia="仿宋_GB2312" w:cs="仿宋_GB2312"/>
          <w:i w:val="0"/>
          <w:iCs w:val="0"/>
          <w:caps w:val="0"/>
          <w:color w:val="3D3D3D"/>
          <w:spacing w:val="0"/>
          <w:sz w:val="32"/>
          <w:szCs w:val="32"/>
          <w:shd w:val="clear" w:fill="FFFFFF"/>
        </w:rPr>
        <w:t>，</w:t>
      </w:r>
      <w:r>
        <w:rPr>
          <w:rFonts w:hint="eastAsia" w:ascii="仿宋_GB2312" w:hAnsi="仿宋_GB2312" w:eastAsia="仿宋_GB2312" w:cs="仿宋_GB2312"/>
          <w:i w:val="0"/>
          <w:iCs w:val="0"/>
          <w:caps w:val="0"/>
          <w:color w:val="3D3D3D"/>
          <w:spacing w:val="0"/>
          <w:sz w:val="32"/>
          <w:szCs w:val="32"/>
          <w:shd w:val="clear" w:fill="FFFFFF"/>
          <w:lang w:val="en-US" w:eastAsia="zh-CN"/>
        </w:rPr>
        <w:t>尧都区市场监督管理</w:t>
      </w:r>
      <w:r>
        <w:rPr>
          <w:rFonts w:hint="eastAsia" w:ascii="仿宋_GB2312" w:hAnsi="仿宋_GB2312" w:eastAsia="仿宋_GB2312" w:cs="仿宋_GB2312"/>
          <w:i w:val="0"/>
          <w:iCs w:val="0"/>
          <w:caps w:val="0"/>
          <w:color w:val="3D3D3D"/>
          <w:spacing w:val="0"/>
          <w:sz w:val="32"/>
          <w:szCs w:val="32"/>
          <w:shd w:val="clear" w:fill="FFFFFF"/>
        </w:rPr>
        <w:t>局深入贯彻《中华人民共和国政府信息公开条例》，结合部门工作实际，紧扣群众关切，积极推进政务公开工作。现将我局本年度政务公开工作情况报告如下：</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i w:val="0"/>
          <w:iCs w:val="0"/>
          <w:caps w:val="0"/>
          <w:color w:val="3D3D3D"/>
          <w:spacing w:val="0"/>
          <w:kern w:val="0"/>
          <w:sz w:val="32"/>
          <w:szCs w:val="32"/>
          <w:shd w:val="clear" w:fill="FFFFFF"/>
          <w:lang w:val="en-US" w:eastAsia="zh-CN" w:bidi="ar"/>
        </w:rPr>
      </w:pPr>
      <w:r>
        <w:rPr>
          <w:rFonts w:hint="eastAsia" w:ascii="楷体" w:hAnsi="楷体" w:eastAsia="楷体" w:cs="楷体"/>
          <w:b/>
          <w:bCs/>
          <w:i w:val="0"/>
          <w:iCs w:val="0"/>
          <w:caps w:val="0"/>
          <w:color w:val="3D3D3D"/>
          <w:spacing w:val="0"/>
          <w:kern w:val="0"/>
          <w:sz w:val="32"/>
          <w:szCs w:val="32"/>
          <w:shd w:val="clear" w:fill="FFFFFF"/>
          <w:lang w:val="en-US" w:eastAsia="zh-CN" w:bidi="ar"/>
        </w:rPr>
        <w:t>（一）扎实做好政府信息公开工作。</w:t>
      </w:r>
      <w:r>
        <w:rPr>
          <w:rFonts w:hint="eastAsia" w:ascii="仿宋_GB2312" w:hAnsi="仿宋_GB2312" w:eastAsia="仿宋_GB2312" w:cs="仿宋_GB2312"/>
          <w:i w:val="0"/>
          <w:iCs w:val="0"/>
          <w:caps w:val="0"/>
          <w:color w:val="3D3D3D"/>
          <w:spacing w:val="0"/>
          <w:sz w:val="32"/>
          <w:szCs w:val="32"/>
          <w:shd w:val="clear" w:fill="FFFFFF"/>
          <w:lang w:val="en-US" w:eastAsia="zh-CN"/>
        </w:rPr>
        <w:t>尧都区市场监督管理</w:t>
      </w:r>
      <w:r>
        <w:rPr>
          <w:rFonts w:hint="eastAsia" w:ascii="仿宋_GB2312" w:hAnsi="仿宋_GB2312" w:eastAsia="仿宋_GB2312" w:cs="仿宋_GB2312"/>
          <w:i w:val="0"/>
          <w:iCs w:val="0"/>
          <w:caps w:val="0"/>
          <w:color w:val="3D3D3D"/>
          <w:spacing w:val="0"/>
          <w:sz w:val="32"/>
          <w:szCs w:val="32"/>
          <w:shd w:val="clear" w:fill="FFFFFF"/>
        </w:rPr>
        <w:t>局</w:t>
      </w:r>
      <w:r>
        <w:rPr>
          <w:rFonts w:hint="eastAsia" w:ascii="仿宋_GB2312" w:hAnsi="仿宋_GB2312" w:eastAsia="仿宋_GB2312" w:cs="仿宋_GB2312"/>
          <w:i w:val="0"/>
          <w:iCs w:val="0"/>
          <w:caps w:val="0"/>
          <w:color w:val="3D3D3D"/>
          <w:spacing w:val="0"/>
          <w:sz w:val="32"/>
          <w:szCs w:val="32"/>
          <w:shd w:val="clear" w:fill="FFFFFF"/>
          <w:lang w:val="en-US" w:eastAsia="zh-CN"/>
        </w:rPr>
        <w:t>坚持以习近平新时代中国特色社会主义思想为指导，全面贯彻落实党的二十大和党</w:t>
      </w:r>
      <w:bookmarkStart w:id="0" w:name="_GoBack"/>
      <w:bookmarkEnd w:id="0"/>
      <w:r>
        <w:rPr>
          <w:rFonts w:hint="eastAsia" w:ascii="仿宋_GB2312" w:hAnsi="仿宋_GB2312" w:eastAsia="仿宋_GB2312" w:cs="仿宋_GB2312"/>
          <w:i w:val="0"/>
          <w:iCs w:val="0"/>
          <w:caps w:val="0"/>
          <w:color w:val="3D3D3D"/>
          <w:spacing w:val="0"/>
          <w:sz w:val="32"/>
          <w:szCs w:val="32"/>
          <w:shd w:val="clear" w:fill="FFFFFF"/>
          <w:lang w:val="en-US" w:eastAsia="zh-CN"/>
        </w:rPr>
        <w:t>的二十届三中全会精神，以区政府门户网站为公开主渠道，</w:t>
      </w:r>
      <w:r>
        <w:rPr>
          <w:rFonts w:hint="eastAsia" w:ascii="仿宋_GB2312" w:hAnsi="仿宋_GB2312" w:eastAsia="仿宋_GB2312" w:cs="仿宋_GB2312"/>
          <w:i w:val="0"/>
          <w:iCs w:val="0"/>
          <w:caps w:val="0"/>
          <w:color w:val="3D3D3D"/>
          <w:spacing w:val="0"/>
          <w:kern w:val="0"/>
          <w:sz w:val="32"/>
          <w:szCs w:val="32"/>
          <w:shd w:val="clear" w:fill="FFFFFF"/>
          <w:lang w:val="en-US" w:eastAsia="zh-CN" w:bidi="ar"/>
        </w:rPr>
        <w:t>按照“公开为原则、不公开为例外”的原则，以群众关心、涉及群众切实利益的信息为公开重点，细化信息公开内容、范围和形式，提高工作透明度，全面推进政务事项公开，维护好实现好群众对市场监管工作的知情权、参与权和监督权。2024年在尧都区人民政府网站公开相关信息11条。</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i w:val="0"/>
          <w:iCs w:val="0"/>
          <w:caps w:val="0"/>
          <w:color w:val="3D3D3D"/>
          <w:spacing w:val="0"/>
          <w:kern w:val="0"/>
          <w:sz w:val="32"/>
          <w:szCs w:val="32"/>
          <w:shd w:val="clear" w:fill="FFFFFF"/>
          <w:lang w:val="en-US" w:eastAsia="zh-CN" w:bidi="ar"/>
        </w:rPr>
      </w:pPr>
      <w:r>
        <w:rPr>
          <w:rFonts w:hint="eastAsia" w:ascii="楷体" w:hAnsi="楷体" w:eastAsia="楷体" w:cs="楷体"/>
          <w:b/>
          <w:bCs/>
          <w:i w:val="0"/>
          <w:iCs w:val="0"/>
          <w:caps w:val="0"/>
          <w:color w:val="3D3D3D"/>
          <w:spacing w:val="0"/>
          <w:kern w:val="0"/>
          <w:sz w:val="32"/>
          <w:szCs w:val="32"/>
          <w:shd w:val="clear" w:fill="FFFFFF"/>
          <w:lang w:val="en-US" w:eastAsia="zh-CN" w:bidi="ar"/>
        </w:rPr>
        <w:t>（二）规范开展政府信息依申请公开。</w:t>
      </w:r>
      <w:r>
        <w:rPr>
          <w:rFonts w:hint="eastAsia" w:ascii="仿宋_GB2312" w:hAnsi="仿宋_GB2312" w:eastAsia="仿宋_GB2312" w:cs="仿宋_GB2312"/>
          <w:i w:val="0"/>
          <w:iCs w:val="0"/>
          <w:caps w:val="0"/>
          <w:color w:val="3D3D3D"/>
          <w:spacing w:val="0"/>
          <w:kern w:val="0"/>
          <w:sz w:val="32"/>
          <w:szCs w:val="32"/>
          <w:shd w:val="clear" w:fill="FFFFFF"/>
          <w:lang w:val="en-US" w:eastAsia="zh-CN" w:bidi="ar"/>
        </w:rPr>
        <w:t>建立健全依申请公开审查机制，坚持“公开为常态、不公开为例外”工作理念，及时回应社会关切，常态化开展市场监管工作，有效推进政府信息公开工作落实落地落细。</w:t>
      </w:r>
      <w:r>
        <w:rPr>
          <w:rFonts w:ascii="仿宋_GB2312" w:hAnsi="宋体" w:eastAsia="仿宋_GB2312" w:cs="仿宋_GB2312"/>
          <w:i w:val="0"/>
          <w:iCs w:val="0"/>
          <w:caps w:val="0"/>
          <w:color w:val="333333"/>
          <w:spacing w:val="0"/>
          <w:sz w:val="31"/>
          <w:szCs w:val="31"/>
        </w:rPr>
        <w:t>20</w:t>
      </w:r>
      <w:r>
        <w:rPr>
          <w:rFonts w:hint="eastAsia" w:ascii="仿宋_GB2312" w:hAnsi="宋体" w:eastAsia="仿宋_GB2312" w:cs="仿宋_GB2312"/>
          <w:i w:val="0"/>
          <w:iCs w:val="0"/>
          <w:caps w:val="0"/>
          <w:color w:val="333333"/>
          <w:spacing w:val="0"/>
          <w:sz w:val="31"/>
          <w:szCs w:val="31"/>
        </w:rPr>
        <w:t>2</w:t>
      </w:r>
      <w:r>
        <w:rPr>
          <w:rFonts w:hint="eastAsia" w:ascii="仿宋_GB2312" w:hAnsi="宋体" w:eastAsia="仿宋_GB2312" w:cs="仿宋_GB2312"/>
          <w:i w:val="0"/>
          <w:iCs w:val="0"/>
          <w:caps w:val="0"/>
          <w:color w:val="333333"/>
          <w:spacing w:val="0"/>
          <w:sz w:val="31"/>
          <w:szCs w:val="31"/>
          <w:lang w:val="en-US" w:eastAsia="zh-CN"/>
        </w:rPr>
        <w:t>4</w:t>
      </w:r>
      <w:r>
        <w:rPr>
          <w:rFonts w:hint="eastAsia" w:ascii="仿宋_GB2312" w:hAnsi="宋体" w:eastAsia="仿宋_GB2312" w:cs="仿宋_GB2312"/>
          <w:i w:val="0"/>
          <w:iCs w:val="0"/>
          <w:caps w:val="0"/>
          <w:color w:val="333333"/>
          <w:spacing w:val="0"/>
          <w:sz w:val="31"/>
          <w:szCs w:val="31"/>
        </w:rPr>
        <w:t>年，我局未接到信息公开申请。</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宋体" w:eastAsia="仿宋_GB2312" w:cs="仿宋_GB2312"/>
          <w:i w:val="0"/>
          <w:iCs w:val="0"/>
          <w:caps w:val="0"/>
          <w:color w:val="333333"/>
          <w:spacing w:val="0"/>
          <w:sz w:val="31"/>
          <w:szCs w:val="31"/>
          <w:lang w:val="en-US" w:eastAsia="zh-CN"/>
        </w:rPr>
      </w:pPr>
      <w:r>
        <w:rPr>
          <w:rFonts w:hint="eastAsia" w:ascii="楷体" w:hAnsi="楷体" w:eastAsia="楷体" w:cs="楷体"/>
          <w:b/>
          <w:bCs/>
          <w:i w:val="0"/>
          <w:iCs w:val="0"/>
          <w:caps w:val="0"/>
          <w:color w:val="3D3D3D"/>
          <w:spacing w:val="0"/>
          <w:kern w:val="0"/>
          <w:sz w:val="32"/>
          <w:szCs w:val="32"/>
          <w:shd w:val="clear" w:fill="FFFFFF"/>
          <w:lang w:val="en-US" w:eastAsia="zh-CN" w:bidi="ar"/>
        </w:rPr>
        <w:t>（三）严格政府信息公开审核把关。</w:t>
      </w:r>
      <w:r>
        <w:rPr>
          <w:rFonts w:hint="eastAsia" w:ascii="仿宋_GB2312" w:hAnsi="仿宋_GB2312" w:eastAsia="仿宋_GB2312" w:cs="仿宋_GB2312"/>
          <w:i w:val="0"/>
          <w:iCs w:val="0"/>
          <w:caps w:val="0"/>
          <w:color w:val="3D3D3D"/>
          <w:spacing w:val="0"/>
          <w:sz w:val="32"/>
          <w:szCs w:val="32"/>
          <w:shd w:val="clear" w:fill="FFFFFF"/>
          <w:lang w:val="en-US" w:eastAsia="zh-CN"/>
        </w:rPr>
        <w:t>尧都区市场监督管理</w:t>
      </w:r>
      <w:r>
        <w:rPr>
          <w:rFonts w:hint="eastAsia" w:ascii="仿宋_GB2312" w:hAnsi="仿宋_GB2312" w:eastAsia="仿宋_GB2312" w:cs="仿宋_GB2312"/>
          <w:i w:val="0"/>
          <w:iCs w:val="0"/>
          <w:caps w:val="0"/>
          <w:color w:val="3D3D3D"/>
          <w:spacing w:val="0"/>
          <w:sz w:val="32"/>
          <w:szCs w:val="32"/>
          <w:shd w:val="clear" w:fill="FFFFFF"/>
        </w:rPr>
        <w:t>局</w:t>
      </w:r>
      <w:r>
        <w:rPr>
          <w:rFonts w:hint="eastAsia" w:ascii="仿宋_GB2312" w:hAnsi="仿宋_GB2312" w:eastAsia="仿宋_GB2312" w:cs="仿宋_GB2312"/>
          <w:i w:val="0"/>
          <w:iCs w:val="0"/>
          <w:caps w:val="0"/>
          <w:color w:val="3D3D3D"/>
          <w:spacing w:val="0"/>
          <w:kern w:val="0"/>
          <w:sz w:val="32"/>
          <w:szCs w:val="32"/>
          <w:shd w:val="clear" w:fill="FFFFFF"/>
          <w:lang w:val="en-US" w:eastAsia="zh-CN" w:bidi="ar"/>
        </w:rPr>
        <w:t>严格落实信息发布制度。</w:t>
      </w:r>
      <w:r>
        <w:rPr>
          <w:rFonts w:hint="eastAsia" w:ascii="仿宋_GB2312" w:hAnsi="仿宋_GB2312" w:eastAsia="仿宋_GB2312" w:cs="仿宋_GB2312"/>
          <w:b/>
          <w:bCs/>
          <w:i w:val="0"/>
          <w:iCs w:val="0"/>
          <w:caps w:val="0"/>
          <w:color w:val="3D3D3D"/>
          <w:spacing w:val="0"/>
          <w:kern w:val="0"/>
          <w:sz w:val="32"/>
          <w:szCs w:val="32"/>
          <w:shd w:val="clear" w:fill="FFFFFF"/>
          <w:lang w:val="en-US" w:eastAsia="zh-CN" w:bidi="ar"/>
        </w:rPr>
        <w:t>一是</w:t>
      </w:r>
      <w:r>
        <w:rPr>
          <w:rFonts w:hint="eastAsia" w:ascii="仿宋_GB2312" w:hAnsi="仿宋_GB2312" w:eastAsia="仿宋_GB2312" w:cs="仿宋_GB2312"/>
          <w:i w:val="0"/>
          <w:iCs w:val="0"/>
          <w:caps w:val="0"/>
          <w:color w:val="3D3D3D"/>
          <w:spacing w:val="0"/>
          <w:kern w:val="0"/>
          <w:sz w:val="32"/>
          <w:szCs w:val="32"/>
          <w:shd w:val="clear" w:fill="FFFFFF"/>
          <w:lang w:val="en-US" w:eastAsia="zh-CN" w:bidi="ar"/>
        </w:rPr>
        <w:t>健全工作机制。严格按照“三审三校”流程，</w:t>
      </w:r>
      <w:r>
        <w:rPr>
          <w:rFonts w:ascii="仿宋_GB2312" w:hAnsi="宋体" w:eastAsia="仿宋_GB2312" w:cs="仿宋_GB2312"/>
          <w:i w:val="0"/>
          <w:iCs w:val="0"/>
          <w:caps w:val="0"/>
          <w:color w:val="333333"/>
          <w:spacing w:val="0"/>
          <w:sz w:val="31"/>
          <w:szCs w:val="31"/>
        </w:rPr>
        <w:t>对需要公开的信息，经科室负责</w:t>
      </w:r>
      <w:r>
        <w:rPr>
          <w:rFonts w:hint="eastAsia" w:ascii="仿宋_GB2312" w:hAnsi="宋体" w:eastAsia="仿宋_GB2312" w:cs="仿宋_GB2312"/>
          <w:i w:val="0"/>
          <w:iCs w:val="0"/>
          <w:caps w:val="0"/>
          <w:color w:val="333333"/>
          <w:spacing w:val="0"/>
          <w:sz w:val="31"/>
          <w:szCs w:val="31"/>
          <w:lang w:val="en-US" w:eastAsia="zh-CN"/>
        </w:rPr>
        <w:t>人</w:t>
      </w:r>
      <w:r>
        <w:rPr>
          <w:rFonts w:ascii="仿宋_GB2312" w:hAnsi="宋体" w:eastAsia="仿宋_GB2312" w:cs="仿宋_GB2312"/>
          <w:i w:val="0"/>
          <w:iCs w:val="0"/>
          <w:caps w:val="0"/>
          <w:color w:val="333333"/>
          <w:spacing w:val="0"/>
          <w:sz w:val="31"/>
          <w:szCs w:val="31"/>
        </w:rPr>
        <w:t>审核把关后，经分管领导和主要领导审核签字</w:t>
      </w:r>
      <w:r>
        <w:rPr>
          <w:rFonts w:hint="eastAsia" w:ascii="仿宋_GB2312" w:hAnsi="宋体" w:eastAsia="仿宋_GB2312" w:cs="仿宋_GB2312"/>
          <w:i w:val="0"/>
          <w:iCs w:val="0"/>
          <w:caps w:val="0"/>
          <w:color w:val="333333"/>
          <w:spacing w:val="0"/>
          <w:sz w:val="31"/>
          <w:szCs w:val="31"/>
          <w:lang w:val="en-US" w:eastAsia="zh-CN"/>
        </w:rPr>
        <w:t>,按照区政府网站公示规定履行审批程序后</w:t>
      </w:r>
      <w:r>
        <w:rPr>
          <w:rFonts w:ascii="仿宋_GB2312" w:hAnsi="宋体" w:eastAsia="仿宋_GB2312" w:cs="仿宋_GB2312"/>
          <w:i w:val="0"/>
          <w:iCs w:val="0"/>
          <w:caps w:val="0"/>
          <w:color w:val="333333"/>
          <w:spacing w:val="0"/>
          <w:sz w:val="31"/>
          <w:szCs w:val="31"/>
        </w:rPr>
        <w:t>在</w:t>
      </w:r>
      <w:r>
        <w:rPr>
          <w:rFonts w:hint="eastAsia" w:ascii="仿宋_GB2312" w:hAnsi="宋体" w:eastAsia="仿宋_GB2312" w:cs="仿宋_GB2312"/>
          <w:i w:val="0"/>
          <w:iCs w:val="0"/>
          <w:caps w:val="0"/>
          <w:color w:val="333333"/>
          <w:spacing w:val="0"/>
          <w:sz w:val="31"/>
          <w:szCs w:val="31"/>
          <w:lang w:eastAsia="zh-CN"/>
        </w:rPr>
        <w:t>政府</w:t>
      </w:r>
      <w:r>
        <w:rPr>
          <w:rFonts w:ascii="仿宋_GB2312" w:hAnsi="宋体" w:eastAsia="仿宋_GB2312" w:cs="仿宋_GB2312"/>
          <w:i w:val="0"/>
          <w:iCs w:val="0"/>
          <w:caps w:val="0"/>
          <w:color w:val="333333"/>
          <w:spacing w:val="0"/>
          <w:sz w:val="31"/>
          <w:szCs w:val="31"/>
        </w:rPr>
        <w:t>网</w:t>
      </w:r>
      <w:r>
        <w:rPr>
          <w:rFonts w:hint="eastAsia" w:ascii="仿宋_GB2312" w:hAnsi="宋体" w:eastAsia="仿宋_GB2312" w:cs="仿宋_GB2312"/>
          <w:i w:val="0"/>
          <w:iCs w:val="0"/>
          <w:caps w:val="0"/>
          <w:color w:val="333333"/>
          <w:spacing w:val="0"/>
          <w:sz w:val="31"/>
          <w:szCs w:val="31"/>
          <w:lang w:eastAsia="zh-CN"/>
        </w:rPr>
        <w:t>站</w:t>
      </w:r>
      <w:r>
        <w:rPr>
          <w:rFonts w:ascii="仿宋_GB2312" w:hAnsi="宋体" w:eastAsia="仿宋_GB2312" w:cs="仿宋_GB2312"/>
          <w:i w:val="0"/>
          <w:iCs w:val="0"/>
          <w:caps w:val="0"/>
          <w:color w:val="333333"/>
          <w:spacing w:val="0"/>
          <w:sz w:val="31"/>
          <w:szCs w:val="31"/>
        </w:rPr>
        <w:t>进行公示。</w:t>
      </w:r>
      <w:r>
        <w:rPr>
          <w:rFonts w:hint="eastAsia" w:ascii="仿宋_GB2312" w:hAnsi="仿宋_GB2312" w:eastAsia="仿宋_GB2312" w:cs="仿宋_GB2312"/>
          <w:i w:val="0"/>
          <w:iCs w:val="0"/>
          <w:caps w:val="0"/>
          <w:color w:val="3D3D3D"/>
          <w:spacing w:val="0"/>
          <w:kern w:val="0"/>
          <w:sz w:val="32"/>
          <w:szCs w:val="32"/>
          <w:shd w:val="clear" w:fill="FFFFFF"/>
          <w:lang w:val="en-US" w:eastAsia="zh-CN" w:bidi="ar"/>
        </w:rPr>
        <w:t>对拟公开的政府信息内容进行规范性审核与保密审查，确保涉密信息不公开、公开信息不涉密。</w:t>
      </w:r>
      <w:r>
        <w:rPr>
          <w:rFonts w:hint="eastAsia" w:ascii="仿宋_GB2312" w:hAnsi="宋体" w:eastAsia="仿宋_GB2312" w:cs="仿宋_GB2312"/>
          <w:b/>
          <w:bCs/>
          <w:i w:val="0"/>
          <w:iCs w:val="0"/>
          <w:caps w:val="0"/>
          <w:color w:val="333333"/>
          <w:spacing w:val="0"/>
          <w:sz w:val="31"/>
          <w:szCs w:val="31"/>
          <w:lang w:val="en-US" w:eastAsia="zh-CN"/>
        </w:rPr>
        <w:t>二是</w:t>
      </w:r>
      <w:r>
        <w:rPr>
          <w:rFonts w:hint="eastAsia" w:ascii="仿宋_GB2312" w:hAnsi="宋体" w:eastAsia="仿宋_GB2312" w:cs="仿宋_GB2312"/>
          <w:b w:val="0"/>
          <w:bCs w:val="0"/>
          <w:i w:val="0"/>
          <w:iCs w:val="0"/>
          <w:caps w:val="0"/>
          <w:color w:val="333333"/>
          <w:spacing w:val="0"/>
          <w:sz w:val="31"/>
          <w:szCs w:val="31"/>
          <w:lang w:val="en-US" w:eastAsia="zh-CN"/>
        </w:rPr>
        <w:t>强化</w:t>
      </w:r>
      <w:r>
        <w:rPr>
          <w:rFonts w:hint="eastAsia" w:ascii="仿宋_GB2312" w:hAnsi="宋体" w:eastAsia="仿宋_GB2312" w:cs="仿宋_GB2312"/>
          <w:i w:val="0"/>
          <w:iCs w:val="0"/>
          <w:caps w:val="0"/>
          <w:color w:val="333333"/>
          <w:spacing w:val="0"/>
          <w:sz w:val="31"/>
          <w:szCs w:val="31"/>
          <w:lang w:val="en-US" w:eastAsia="zh-CN"/>
        </w:rPr>
        <w:t>公开实效。本着“应公开尽公开”的原则，围绕市场监管重点信息，在确保不泄密的情况下，最大限度公开信息。</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ascii="楷体_GB2312" w:hAnsi="楷体_GB2312" w:eastAsia="楷体_GB2312" w:cs="楷体_GB2312"/>
          <w:b/>
          <w:bCs/>
          <w:sz w:val="32"/>
          <w:szCs w:val="32"/>
        </w:rPr>
      </w:pPr>
      <w:r>
        <w:rPr>
          <w:rFonts w:hint="eastAsia" w:ascii="楷体" w:hAnsi="楷体" w:eastAsia="楷体" w:cs="楷体"/>
          <w:b/>
          <w:bCs/>
          <w:i w:val="0"/>
          <w:iCs w:val="0"/>
          <w:caps w:val="0"/>
          <w:color w:val="3D3D3D"/>
          <w:spacing w:val="0"/>
          <w:kern w:val="0"/>
          <w:sz w:val="32"/>
          <w:szCs w:val="32"/>
          <w:shd w:val="clear" w:fill="FFFFFF"/>
          <w:lang w:val="en-US" w:eastAsia="zh-CN" w:bidi="ar"/>
        </w:rPr>
        <w:t>（四）</w:t>
      </w:r>
      <w:r>
        <w:rPr>
          <w:rFonts w:hint="eastAsia" w:ascii="楷体_GB2312" w:hAnsi="楷体_GB2312" w:eastAsia="楷体_GB2312" w:cs="楷体_GB2312"/>
          <w:b/>
          <w:bCs/>
          <w:sz w:val="32"/>
          <w:szCs w:val="32"/>
        </w:rPr>
        <w:t>政府信息管理</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20" w:lineRule="atLeast"/>
        <w:ind w:firstLine="620" w:firstLineChars="200"/>
        <w:textAlignment w:val="auto"/>
        <w:rPr>
          <w:rFonts w:hint="eastAsia" w:ascii="仿宋_GB2312" w:hAnsi="宋体" w:eastAsia="仿宋_GB2312" w:cs="仿宋_GB2312"/>
          <w:i w:val="0"/>
          <w:iCs w:val="0"/>
          <w:caps w:val="0"/>
          <w:color w:val="333333"/>
          <w:spacing w:val="0"/>
          <w:kern w:val="2"/>
          <w:sz w:val="31"/>
          <w:szCs w:val="31"/>
          <w:lang w:val="en-US" w:eastAsia="zh-CN" w:bidi="ar-SA"/>
        </w:rPr>
      </w:pPr>
      <w:r>
        <w:rPr>
          <w:rFonts w:hint="eastAsia" w:ascii="仿宋_GB2312" w:hAnsi="宋体" w:eastAsia="仿宋_GB2312" w:cs="仿宋_GB2312"/>
          <w:i w:val="0"/>
          <w:iCs w:val="0"/>
          <w:caps w:val="0"/>
          <w:color w:val="333333"/>
          <w:spacing w:val="0"/>
          <w:kern w:val="2"/>
          <w:sz w:val="31"/>
          <w:szCs w:val="31"/>
          <w:lang w:val="en-US" w:eastAsia="zh-CN" w:bidi="ar-SA"/>
        </w:rPr>
        <w:t>2024年，尧都区市场监管局坚持以人民为中心，认真贯彻执行《中华人民共和国政府信息公开条例》，规范和完善政府信息公开工作。</w:t>
      </w:r>
      <w:r>
        <w:rPr>
          <w:rFonts w:hint="eastAsia" w:ascii="仿宋_GB2312" w:hAnsi="宋体" w:eastAsia="仿宋_GB2312" w:cs="仿宋_GB2312"/>
          <w:b/>
          <w:bCs/>
          <w:i w:val="0"/>
          <w:iCs w:val="0"/>
          <w:caps w:val="0"/>
          <w:color w:val="333333"/>
          <w:spacing w:val="0"/>
          <w:kern w:val="2"/>
          <w:sz w:val="31"/>
          <w:szCs w:val="31"/>
          <w:lang w:val="en-US" w:eastAsia="zh-CN" w:bidi="ar-SA"/>
        </w:rPr>
        <w:t>一是</w:t>
      </w:r>
      <w:r>
        <w:rPr>
          <w:rFonts w:hint="eastAsia" w:ascii="仿宋_GB2312" w:hAnsi="宋体" w:eastAsia="仿宋_GB2312" w:cs="仿宋_GB2312"/>
          <w:i w:val="0"/>
          <w:iCs w:val="0"/>
          <w:caps w:val="0"/>
          <w:color w:val="333333"/>
          <w:spacing w:val="0"/>
          <w:kern w:val="2"/>
          <w:sz w:val="31"/>
          <w:szCs w:val="31"/>
          <w:lang w:val="en-US" w:eastAsia="zh-CN" w:bidi="ar-SA"/>
        </w:rPr>
        <w:t>高度重视政府信息公开工作，始终把做好政府信息公开工作列入重要议事日程，建立局主要领导负总责、分管领导牵头部署、有关科室具体落实的工作机制，明确专人专门负责信息公开工作，确保政府信息公开工作规范有序高效开展。</w:t>
      </w:r>
      <w:r>
        <w:rPr>
          <w:rFonts w:hint="eastAsia" w:ascii="仿宋_GB2312" w:hAnsi="宋体" w:eastAsia="仿宋_GB2312" w:cs="仿宋_GB2312"/>
          <w:b/>
          <w:bCs/>
          <w:i w:val="0"/>
          <w:iCs w:val="0"/>
          <w:caps w:val="0"/>
          <w:color w:val="333333"/>
          <w:spacing w:val="0"/>
          <w:kern w:val="2"/>
          <w:sz w:val="31"/>
          <w:szCs w:val="31"/>
          <w:lang w:val="en-US" w:eastAsia="zh-CN" w:bidi="ar-SA"/>
        </w:rPr>
        <w:t>二是</w:t>
      </w:r>
      <w:r>
        <w:rPr>
          <w:rFonts w:hint="eastAsia" w:ascii="仿宋_GB2312" w:hAnsi="宋体" w:eastAsia="仿宋_GB2312" w:cs="仿宋_GB2312"/>
          <w:i w:val="0"/>
          <w:iCs w:val="0"/>
          <w:caps w:val="0"/>
          <w:color w:val="333333"/>
          <w:spacing w:val="0"/>
          <w:kern w:val="2"/>
          <w:sz w:val="31"/>
          <w:szCs w:val="31"/>
          <w:lang w:val="en-US" w:eastAsia="zh-CN" w:bidi="ar-SA"/>
        </w:rPr>
        <w:t>加强信息公开工作日常管理，明确由1名分管领导和1名工作人员负责公开信息收集、送审、编辑、发布工作，保障公开信息收集完整、编辑规范、审核到位、发布及时。</w:t>
      </w:r>
      <w:r>
        <w:rPr>
          <w:rFonts w:hint="eastAsia" w:ascii="仿宋_GB2312" w:hAnsi="宋体" w:eastAsia="仿宋_GB2312" w:cs="仿宋_GB2312"/>
          <w:b/>
          <w:bCs/>
          <w:i w:val="0"/>
          <w:iCs w:val="0"/>
          <w:caps w:val="0"/>
          <w:color w:val="333333"/>
          <w:spacing w:val="0"/>
          <w:kern w:val="2"/>
          <w:sz w:val="31"/>
          <w:szCs w:val="31"/>
          <w:lang w:val="en-US" w:eastAsia="zh-CN" w:bidi="ar-SA"/>
        </w:rPr>
        <w:t>三是</w:t>
      </w:r>
      <w:r>
        <w:rPr>
          <w:rFonts w:hint="eastAsia" w:ascii="仿宋_GB2312" w:hAnsi="宋体" w:eastAsia="仿宋_GB2312" w:cs="仿宋_GB2312"/>
          <w:i w:val="0"/>
          <w:iCs w:val="0"/>
          <w:caps w:val="0"/>
          <w:color w:val="333333"/>
          <w:spacing w:val="0"/>
          <w:kern w:val="2"/>
          <w:sz w:val="31"/>
          <w:szCs w:val="31"/>
          <w:lang w:val="en-US" w:eastAsia="zh-CN" w:bidi="ar-SA"/>
        </w:rPr>
        <w:t>加强信息公开工作保密意识，完善我局信息保密制度，切实做好信息保密审查工作，全年无泄密事件发生。</w:t>
      </w:r>
    </w:p>
    <w:p>
      <w:pPr>
        <w:pStyle w:val="2"/>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20" w:lineRule="atLeas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监督保障情况</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20" w:lineRule="atLeast"/>
        <w:ind w:right="0" w:rightChars="0" w:firstLine="640" w:firstLineChars="200"/>
        <w:textAlignment w:val="auto"/>
        <w:rPr>
          <w:rFonts w:hint="eastAsia" w:ascii="仿宋_GB2312" w:hAnsi="宋体" w:eastAsia="仿宋_GB2312" w:cs="仿宋_GB2312"/>
          <w:i w:val="0"/>
          <w:iCs w:val="0"/>
          <w:caps w:val="0"/>
          <w:color w:val="333333"/>
          <w:spacing w:val="0"/>
          <w:kern w:val="2"/>
          <w:sz w:val="31"/>
          <w:szCs w:val="31"/>
          <w:lang w:val="en-US" w:eastAsia="zh-CN" w:bidi="ar-SA"/>
        </w:rPr>
      </w:pPr>
      <w:r>
        <w:rPr>
          <w:rFonts w:hint="eastAsia" w:ascii="仿宋_GB2312" w:hAnsi="仿宋_GB2312" w:eastAsia="仿宋_GB2312" w:cs="仿宋_GB2312"/>
          <w:i w:val="0"/>
          <w:iCs w:val="0"/>
          <w:caps w:val="0"/>
          <w:color w:val="3D3D3D"/>
          <w:spacing w:val="0"/>
          <w:sz w:val="32"/>
          <w:szCs w:val="32"/>
          <w:shd w:val="clear" w:fill="FFFFFF"/>
          <w:lang w:val="en-US" w:eastAsia="zh-CN"/>
        </w:rPr>
        <w:t>尧都区市场监督管理</w:t>
      </w:r>
      <w:r>
        <w:rPr>
          <w:rFonts w:hint="eastAsia" w:ascii="仿宋_GB2312" w:hAnsi="仿宋_GB2312" w:eastAsia="仿宋_GB2312" w:cs="仿宋_GB2312"/>
          <w:i w:val="0"/>
          <w:iCs w:val="0"/>
          <w:caps w:val="0"/>
          <w:color w:val="3D3D3D"/>
          <w:spacing w:val="0"/>
          <w:sz w:val="32"/>
          <w:szCs w:val="32"/>
          <w:shd w:val="clear" w:fill="FFFFFF"/>
        </w:rPr>
        <w:t>局</w:t>
      </w:r>
      <w:r>
        <w:rPr>
          <w:rFonts w:hint="eastAsia" w:ascii="仿宋_GB2312" w:hAnsi="宋体" w:eastAsia="仿宋_GB2312" w:cs="仿宋_GB2312"/>
          <w:i w:val="0"/>
          <w:iCs w:val="0"/>
          <w:caps w:val="0"/>
          <w:color w:val="333333"/>
          <w:spacing w:val="0"/>
          <w:kern w:val="2"/>
          <w:sz w:val="31"/>
          <w:szCs w:val="31"/>
          <w:lang w:val="en-US" w:eastAsia="zh-CN" w:bidi="ar-SA"/>
        </w:rPr>
        <w:t>从严工作考核，对发现的问题及时整改落实。同时积极应对社会评议，确保对外公开的信息有数据支撑、有政策支持，2024年我局信息公开工作自觉主动接受社会评议，未发现责任追究、违反有关法律规定、造成不良影响或者严重后果的情况。</w:t>
      </w:r>
    </w:p>
    <w:p>
      <w:pPr>
        <w:widowControl/>
        <w:shd w:val="clear" w:color="auto" w:fill="FFFFFF"/>
        <w:ind w:firstLine="480"/>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二、主动公开政府信息情况</w:t>
      </w:r>
    </w:p>
    <w:p>
      <w:pPr>
        <w:widowControl/>
        <w:shd w:val="clear" w:color="auto" w:fill="FFFFFF"/>
        <w:ind w:firstLine="480"/>
        <w:rPr>
          <w:rFonts w:hint="eastAsia" w:ascii="宋体" w:hAnsi="宋体" w:eastAsia="宋体" w:cs="宋体"/>
          <w:color w:val="333333"/>
          <w:kern w:val="0"/>
          <w:sz w:val="24"/>
          <w:szCs w:val="24"/>
        </w:rPr>
      </w:pPr>
    </w:p>
    <w:p>
      <w:pPr>
        <w:widowControl/>
        <w:shd w:val="clear" w:color="auto" w:fill="FFFFFF"/>
        <w:ind w:firstLine="480"/>
        <w:jc w:val="center"/>
        <w:rPr>
          <w:rFonts w:hint="eastAsia" w:ascii="宋体" w:hAnsi="宋体" w:eastAsia="宋体" w:cs="宋体"/>
          <w:color w:val="333333"/>
          <w:kern w:val="0"/>
          <w:sz w:val="24"/>
          <w:szCs w:val="24"/>
        </w:rPr>
      </w:pPr>
    </w:p>
    <w:tbl>
      <w:tblPr>
        <w:tblStyle w:val="3"/>
        <w:tblW w:w="9740" w:type="dxa"/>
        <w:jc w:val="center"/>
        <w:tblLayout w:type="autofit"/>
        <w:tblCellMar>
          <w:top w:w="15" w:type="dxa"/>
          <w:left w:w="15" w:type="dxa"/>
          <w:bottom w:w="15" w:type="dxa"/>
          <w:right w:w="15" w:type="dxa"/>
        </w:tblCellMar>
      </w:tblPr>
      <w:tblGrid>
        <w:gridCol w:w="2435"/>
        <w:gridCol w:w="2435"/>
        <w:gridCol w:w="2435"/>
        <w:gridCol w:w="2435"/>
      </w:tblGrid>
      <w:tr>
        <w:tblPrEx>
          <w:tblCellMar>
            <w:top w:w="15" w:type="dxa"/>
            <w:left w:w="15" w:type="dxa"/>
            <w:bottom w:w="15" w:type="dxa"/>
            <w:right w:w="15"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第二十条第（一）项</w:t>
            </w:r>
          </w:p>
        </w:tc>
      </w:tr>
      <w:tr>
        <w:tblPrEx>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w:t>
            </w:r>
            <w:r>
              <w:rPr>
                <w:rFonts w:hint="eastAsia" w:ascii="宋体" w:hAnsi="宋体" w:eastAsia="宋体" w:cs="宋体"/>
                <w:kern w:val="0"/>
                <w:sz w:val="20"/>
                <w:szCs w:val="20"/>
              </w:rPr>
              <w:t>制发件数</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本年废止件数</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现行有效件</w:t>
            </w:r>
            <w:r>
              <w:rPr>
                <w:rFonts w:hint="eastAsia" w:ascii="宋体" w:hAnsi="宋体" w:eastAsia="宋体" w:cs="宋体"/>
                <w:kern w:val="0"/>
                <w:sz w:val="20"/>
                <w:szCs w:val="20"/>
              </w:rPr>
              <w:t>数</w:t>
            </w:r>
          </w:p>
        </w:tc>
      </w:tr>
      <w:tr>
        <w:tblPrEx>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规章</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rPr>
              <w:t>　　</w:t>
            </w:r>
            <w:r>
              <w:rPr>
                <w:rFonts w:hint="eastAsia" w:ascii="宋体" w:hAnsi="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rPr>
              <w:t>　</w:t>
            </w:r>
            <w:r>
              <w:rPr>
                <w:rFonts w:hint="eastAsia" w:ascii="宋体" w:hAnsi="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r>
      <w:tr>
        <w:tblPrEx>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行政规范性文件</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rPr>
              <w:t>　　</w:t>
            </w:r>
            <w:r>
              <w:rPr>
                <w:rFonts w:hint="eastAsia" w:ascii="宋体" w:hAnsi="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rPr>
              <w:t>　</w:t>
            </w:r>
            <w:r>
              <w:rPr>
                <w:rFonts w:hint="eastAsia" w:ascii="宋体" w:hAnsi="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r>
      <w:tr>
        <w:tblPrEx>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第二十条第（五）项</w:t>
            </w:r>
          </w:p>
        </w:tc>
      </w:tr>
      <w:tr>
        <w:tblPrEx>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tblPrEx>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行政许可</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19</w:t>
            </w:r>
          </w:p>
        </w:tc>
      </w:tr>
      <w:tr>
        <w:tblPrEx>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第二十条第（六）项</w:t>
            </w:r>
          </w:p>
        </w:tc>
      </w:tr>
      <w:tr>
        <w:tblPrEx>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7305" w:type="dxa"/>
            <w:gridSpan w:val="3"/>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tblPrEx>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行政处罚</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rPr>
              <w:t>　</w:t>
            </w:r>
            <w:r>
              <w:rPr>
                <w:rFonts w:hint="eastAsia" w:ascii="宋体" w:hAnsi="宋体" w:cs="宋体"/>
                <w:color w:val="000000"/>
                <w:kern w:val="0"/>
                <w:sz w:val="20"/>
                <w:szCs w:val="20"/>
                <w:lang w:val="en-US" w:eastAsia="zh-CN"/>
              </w:rPr>
              <w:t>0</w:t>
            </w:r>
          </w:p>
        </w:tc>
      </w:tr>
      <w:tr>
        <w:tblPrEx>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行政强制</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rPr>
              <w:t>　</w:t>
            </w:r>
            <w:r>
              <w:rPr>
                <w:rFonts w:hint="eastAsia" w:ascii="宋体" w:hAnsi="宋体" w:cs="宋体"/>
                <w:color w:val="000000"/>
                <w:kern w:val="0"/>
                <w:sz w:val="20"/>
                <w:szCs w:val="20"/>
                <w:lang w:val="en-US" w:eastAsia="zh-CN"/>
              </w:rPr>
              <w:t>0</w:t>
            </w:r>
          </w:p>
        </w:tc>
      </w:tr>
      <w:tr>
        <w:tblPrEx>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第二十条第（八）项</w:t>
            </w:r>
          </w:p>
        </w:tc>
      </w:tr>
      <w:tr>
        <w:tblPrEx>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7305"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本年收费金额（单位：万元）</w:t>
            </w:r>
          </w:p>
        </w:tc>
      </w:tr>
      <w:tr>
        <w:tblPrEx>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行政事业性收费</w:t>
            </w:r>
          </w:p>
        </w:tc>
        <w:tc>
          <w:tcPr>
            <w:tcW w:w="7305"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r>
    </w:tbl>
    <w:p>
      <w:pPr>
        <w:widowControl/>
        <w:shd w:val="clear" w:color="auto" w:fill="FFFFFF"/>
        <w:jc w:val="left"/>
        <w:rPr>
          <w:rFonts w:hint="eastAsia" w:ascii="宋体" w:hAnsi="宋体" w:eastAsia="宋体" w:cs="宋体"/>
          <w:color w:val="333333"/>
          <w:kern w:val="0"/>
          <w:sz w:val="24"/>
          <w:szCs w:val="24"/>
        </w:rPr>
      </w:pPr>
    </w:p>
    <w:p>
      <w:pPr>
        <w:widowControl/>
        <w:shd w:val="clear" w:color="auto" w:fill="FFFFFF"/>
        <w:jc w:val="left"/>
        <w:rPr>
          <w:rFonts w:hint="eastAsia" w:ascii="宋体" w:hAnsi="宋体" w:eastAsia="宋体" w:cs="宋体"/>
          <w:color w:val="333333"/>
          <w:kern w:val="0"/>
          <w:sz w:val="24"/>
          <w:szCs w:val="24"/>
        </w:rPr>
      </w:pPr>
    </w:p>
    <w:p>
      <w:pPr>
        <w:widowControl/>
        <w:shd w:val="clear" w:color="auto" w:fill="FFFFFF"/>
        <w:ind w:firstLine="480"/>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三、收到和处理政府信息公开申请情况</w:t>
      </w:r>
    </w:p>
    <w:p>
      <w:pPr>
        <w:widowControl/>
        <w:shd w:val="clear" w:color="auto" w:fill="FFFFFF"/>
        <w:ind w:firstLine="480"/>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br w:type="textWrapping"/>
      </w:r>
    </w:p>
    <w:p>
      <w:pPr>
        <w:widowControl/>
        <w:shd w:val="clear" w:color="auto" w:fill="FFFFFF"/>
        <w:ind w:firstLine="480"/>
        <w:jc w:val="center"/>
        <w:rPr>
          <w:rFonts w:hint="eastAsia" w:ascii="宋体" w:hAnsi="宋体" w:eastAsia="宋体" w:cs="宋体"/>
          <w:color w:val="333333"/>
          <w:kern w:val="0"/>
          <w:sz w:val="24"/>
          <w:szCs w:val="24"/>
        </w:rPr>
      </w:pPr>
    </w:p>
    <w:tbl>
      <w:tblPr>
        <w:tblStyle w:val="3"/>
        <w:tblW w:w="9748" w:type="dxa"/>
        <w:jc w:val="center"/>
        <w:tblLayout w:type="autofit"/>
        <w:tblCellMar>
          <w:top w:w="15" w:type="dxa"/>
          <w:left w:w="15" w:type="dxa"/>
          <w:bottom w:w="15" w:type="dxa"/>
          <w:right w:w="15" w:type="dxa"/>
        </w:tblCellMar>
      </w:tblPr>
      <w:tblGrid>
        <w:gridCol w:w="768"/>
        <w:gridCol w:w="943"/>
        <w:gridCol w:w="3220"/>
        <w:gridCol w:w="688"/>
        <w:gridCol w:w="688"/>
        <w:gridCol w:w="688"/>
        <w:gridCol w:w="688"/>
        <w:gridCol w:w="688"/>
        <w:gridCol w:w="688"/>
        <w:gridCol w:w="689"/>
      </w:tblGrid>
      <w:tr>
        <w:tblPrEx>
          <w:tblCellMar>
            <w:top w:w="15" w:type="dxa"/>
            <w:left w:w="15" w:type="dxa"/>
            <w:bottom w:w="15" w:type="dxa"/>
            <w:right w:w="15" w:type="dxa"/>
          </w:tblCellMar>
        </w:tblPrEx>
        <w:trPr>
          <w:jc w:val="center"/>
        </w:trPr>
        <w:tc>
          <w:tcPr>
            <w:tcW w:w="5150"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申请人情况</w:t>
            </w:r>
          </w:p>
        </w:tc>
      </w:tr>
      <w:tr>
        <w:tblPrEx>
          <w:tblCellMar>
            <w:top w:w="15" w:type="dxa"/>
            <w:left w:w="15" w:type="dxa"/>
            <w:bottom w:w="15" w:type="dxa"/>
            <w:right w:w="15" w:type="dxa"/>
          </w:tblCellMar>
        </w:tblPrEx>
        <w:trPr>
          <w:jc w:val="center"/>
        </w:trPr>
        <w:tc>
          <w:tcPr>
            <w:tcW w:w="0" w:type="auto"/>
            <w:gridSpan w:val="3"/>
            <w:vMerge w:val="continue"/>
            <w:tcBorders>
              <w:top w:val="single" w:color="auto" w:sz="8" w:space="0"/>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714"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自然人</w:t>
            </w:r>
          </w:p>
        </w:tc>
        <w:tc>
          <w:tcPr>
            <w:tcW w:w="357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法人或其他组织</w:t>
            </w:r>
          </w:p>
        </w:tc>
        <w:tc>
          <w:tcPr>
            <w:tcW w:w="714"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r>
      <w:tr>
        <w:tblPrEx>
          <w:tblCellMar>
            <w:top w:w="15" w:type="dxa"/>
            <w:left w:w="15" w:type="dxa"/>
            <w:bottom w:w="15" w:type="dxa"/>
            <w:right w:w="15" w:type="dxa"/>
          </w:tblCellMar>
        </w:tblPrEx>
        <w:trPr>
          <w:jc w:val="center"/>
        </w:trPr>
        <w:tc>
          <w:tcPr>
            <w:tcW w:w="0" w:type="auto"/>
            <w:gridSpan w:val="3"/>
            <w:vMerge w:val="continue"/>
            <w:tcBorders>
              <w:top w:val="single" w:color="auto" w:sz="8" w:space="0"/>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商业</w:t>
            </w:r>
          </w:p>
          <w:p>
            <w:pPr>
              <w:widowControl/>
              <w:jc w:val="center"/>
              <w:rPr>
                <w:rFonts w:ascii="宋体" w:hAnsi="宋体" w:eastAsia="宋体" w:cs="宋体"/>
                <w:kern w:val="0"/>
                <w:sz w:val="24"/>
                <w:szCs w:val="24"/>
              </w:rPr>
            </w:pPr>
            <w:r>
              <w:rPr>
                <w:rFonts w:hint="eastAsia" w:ascii="宋体" w:hAnsi="宋体" w:eastAsia="宋体" w:cs="宋体"/>
                <w:kern w:val="0"/>
                <w:sz w:val="20"/>
                <w:szCs w:val="20"/>
              </w:rPr>
              <w:t>企业</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科研</w:t>
            </w:r>
          </w:p>
          <w:p>
            <w:pPr>
              <w:widowControl/>
              <w:jc w:val="center"/>
              <w:rPr>
                <w:rFonts w:ascii="宋体" w:hAnsi="宋体" w:eastAsia="宋体" w:cs="宋体"/>
                <w:kern w:val="0"/>
                <w:sz w:val="24"/>
                <w:szCs w:val="24"/>
              </w:rPr>
            </w:pPr>
            <w:r>
              <w:rPr>
                <w:rFonts w:hint="eastAsia" w:ascii="宋体" w:hAnsi="宋体" w:eastAsia="宋体" w:cs="宋体"/>
                <w:kern w:val="0"/>
                <w:sz w:val="20"/>
                <w:szCs w:val="20"/>
              </w:rPr>
              <w:t>机构</w:t>
            </w:r>
          </w:p>
        </w:tc>
        <w:tc>
          <w:tcPr>
            <w:tcW w:w="714"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社会公益组织</w:t>
            </w:r>
          </w:p>
        </w:tc>
        <w:tc>
          <w:tcPr>
            <w:tcW w:w="714"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法律服务机构</w:t>
            </w:r>
          </w:p>
        </w:tc>
        <w:tc>
          <w:tcPr>
            <w:tcW w:w="714"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其他</w:t>
            </w:r>
          </w:p>
        </w:tc>
        <w:tc>
          <w:tcPr>
            <w:tcW w:w="0" w:type="auto"/>
            <w:vMerge w:val="continue"/>
            <w:tcBorders>
              <w:top w:val="single" w:color="auto" w:sz="8" w:space="0"/>
              <w:left w:val="nil"/>
              <w:bottom w:val="inset" w:color="auto"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rPr>
          <w:jc w:val="center"/>
        </w:trPr>
        <w:tc>
          <w:tcPr>
            <w:tcW w:w="5150"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一、本年新收政府信息公开申请数量</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r>
      <w:tr>
        <w:tblPrEx>
          <w:tblCellMar>
            <w:top w:w="15" w:type="dxa"/>
            <w:left w:w="15" w:type="dxa"/>
            <w:bottom w:w="15" w:type="dxa"/>
            <w:right w:w="15" w:type="dxa"/>
          </w:tblCellMar>
        </w:tblPrEx>
        <w:trPr>
          <w:jc w:val="center"/>
        </w:trPr>
        <w:tc>
          <w:tcPr>
            <w:tcW w:w="5150"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二、上年结转政府信息公开申请数量</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r>
      <w:tr>
        <w:tblPrEx>
          <w:tblCellMar>
            <w:top w:w="15" w:type="dxa"/>
            <w:left w:w="15" w:type="dxa"/>
            <w:bottom w:w="15" w:type="dxa"/>
            <w:right w:w="15" w:type="dxa"/>
          </w:tblCellMar>
        </w:tblPrEx>
        <w:trPr>
          <w:jc w:val="center"/>
        </w:trPr>
        <w:tc>
          <w:tcPr>
            <w:tcW w:w="785"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三、本年度办理结果</w:t>
            </w:r>
          </w:p>
        </w:tc>
        <w:tc>
          <w:tcPr>
            <w:tcW w:w="4365"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（一）予以公开</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single" w:color="auto" w:sz="8" w:space="0"/>
              <w:left w:val="nil"/>
              <w:bottom w:val="single" w:color="auto" w:sz="8" w:space="0"/>
              <w:right w:val="single" w:color="auto" w:sz="8" w:space="0"/>
            </w:tcBorders>
            <w:tcMar>
              <w:top w:w="0" w:type="dxa"/>
              <w:left w:w="57" w:type="dxa"/>
              <w:bottom w:w="0" w:type="dxa"/>
              <w:right w:w="57" w:type="dxa"/>
            </w:tcMar>
          </w:tcPr>
          <w:p>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4365"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（二）部分公开</w:t>
            </w:r>
            <w:r>
              <w:rPr>
                <w:rFonts w:hint="eastAsia" w:ascii="楷体" w:hAnsi="楷体" w:eastAsia="楷体" w:cs="宋体"/>
                <w:kern w:val="0"/>
                <w:sz w:val="20"/>
                <w:szCs w:val="20"/>
              </w:rPr>
              <w:t>（区分处理的，只计这一情形，不计其他情形）</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959"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（三）不予公开</w:t>
            </w: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r>
              <w:rPr>
                <w:rFonts w:hint="eastAsia" w:ascii="宋体" w:hAnsi="宋体" w:eastAsia="宋体" w:cs="宋体"/>
                <w:kern w:val="0"/>
                <w:sz w:val="20"/>
                <w:szCs w:val="20"/>
              </w:rPr>
              <w:t>1.属于国家秘密</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single" w:color="auto" w:sz="8" w:space="0"/>
              <w:left w:val="nil"/>
              <w:bottom w:val="single" w:color="auto" w:sz="8" w:space="0"/>
              <w:right w:val="single" w:color="auto" w:sz="8" w:space="0"/>
            </w:tcBorders>
            <w:tcMar>
              <w:top w:w="0" w:type="dxa"/>
              <w:left w:w="57" w:type="dxa"/>
              <w:bottom w:w="0" w:type="dxa"/>
              <w:right w:w="57" w:type="dxa"/>
            </w:tcMar>
          </w:tcPr>
          <w:p>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r>
              <w:rPr>
                <w:rFonts w:hint="eastAsia" w:ascii="宋体" w:hAnsi="宋体" w:eastAsia="宋体" w:cs="宋体"/>
                <w:kern w:val="0"/>
                <w:sz w:val="20"/>
                <w:szCs w:val="20"/>
              </w:rPr>
              <w:t>2.其他法律行政法规禁止公开</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r>
              <w:rPr>
                <w:rFonts w:hint="eastAsia" w:ascii="宋体" w:hAnsi="宋体" w:eastAsia="宋体" w:cs="宋体"/>
                <w:kern w:val="0"/>
                <w:sz w:val="20"/>
                <w:szCs w:val="20"/>
              </w:rPr>
              <w:t>3.危及“三安全一稳定”</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r>
              <w:rPr>
                <w:rFonts w:hint="eastAsia" w:ascii="宋体" w:hAnsi="宋体" w:eastAsia="宋体" w:cs="宋体"/>
                <w:kern w:val="0"/>
                <w:sz w:val="20"/>
                <w:szCs w:val="20"/>
              </w:rPr>
              <w:t>4.保护第三方合法权益</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r>
              <w:rPr>
                <w:rFonts w:hint="eastAsia" w:ascii="宋体" w:hAnsi="宋体" w:eastAsia="宋体" w:cs="宋体"/>
                <w:kern w:val="0"/>
                <w:sz w:val="20"/>
                <w:szCs w:val="20"/>
              </w:rPr>
              <w:t>5.属于三类内部事务信息</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r>
              <w:rPr>
                <w:rFonts w:hint="eastAsia" w:ascii="宋体" w:hAnsi="宋体" w:eastAsia="宋体" w:cs="宋体"/>
                <w:kern w:val="0"/>
                <w:sz w:val="20"/>
                <w:szCs w:val="20"/>
              </w:rPr>
              <w:t>6.属于四类过程性信息</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r>
              <w:rPr>
                <w:rFonts w:hint="eastAsia" w:ascii="宋体" w:hAnsi="宋体" w:eastAsia="宋体" w:cs="宋体"/>
                <w:kern w:val="0"/>
                <w:sz w:val="20"/>
                <w:szCs w:val="20"/>
              </w:rPr>
              <w:t>7.属于行政执法案卷</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r>
              <w:rPr>
                <w:rFonts w:hint="eastAsia" w:ascii="宋体" w:hAnsi="宋体" w:eastAsia="宋体" w:cs="宋体"/>
                <w:kern w:val="0"/>
                <w:sz w:val="20"/>
                <w:szCs w:val="20"/>
              </w:rPr>
              <w:t>8.属于行政查询事项</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959"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（四）无法提供</w:t>
            </w: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r>
              <w:rPr>
                <w:rFonts w:hint="eastAsia" w:ascii="宋体" w:hAnsi="宋体" w:eastAsia="宋体" w:cs="宋体"/>
                <w:kern w:val="0"/>
                <w:sz w:val="20"/>
                <w:szCs w:val="20"/>
              </w:rPr>
              <w:t>1.本机关不掌握相关政府信息</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r>
              <w:rPr>
                <w:rFonts w:hint="eastAsia" w:ascii="宋体" w:hAnsi="宋体" w:eastAsia="宋体" w:cs="宋体"/>
                <w:kern w:val="0"/>
                <w:sz w:val="20"/>
                <w:szCs w:val="20"/>
              </w:rPr>
              <w:t>2.没有现成信息需要另行制作</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r>
              <w:rPr>
                <w:rFonts w:hint="eastAsia" w:ascii="宋体" w:hAnsi="宋体" w:eastAsia="宋体" w:cs="宋体"/>
                <w:kern w:val="0"/>
                <w:sz w:val="20"/>
                <w:szCs w:val="20"/>
              </w:rPr>
              <w:t>3.补正后申请内容仍不明确</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959"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（五）不予处理</w:t>
            </w: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r>
              <w:rPr>
                <w:rFonts w:hint="eastAsia" w:ascii="宋体" w:hAnsi="宋体" w:eastAsia="宋体" w:cs="宋体"/>
                <w:kern w:val="0"/>
                <w:sz w:val="20"/>
                <w:szCs w:val="20"/>
              </w:rPr>
              <w:t>1.信访举报投诉类申请</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r>
              <w:rPr>
                <w:rFonts w:hint="eastAsia" w:ascii="宋体" w:hAnsi="宋体" w:eastAsia="宋体" w:cs="宋体"/>
                <w:kern w:val="0"/>
                <w:sz w:val="20"/>
                <w:szCs w:val="20"/>
              </w:rPr>
              <w:t>2.重复申请</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r>
              <w:rPr>
                <w:rFonts w:hint="eastAsia" w:ascii="宋体" w:hAnsi="宋体" w:eastAsia="宋体" w:cs="宋体"/>
                <w:kern w:val="0"/>
                <w:sz w:val="20"/>
                <w:szCs w:val="20"/>
              </w:rPr>
              <w:t>3.要求提供公开出版物</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r>
              <w:rPr>
                <w:rFonts w:hint="eastAsia" w:ascii="宋体" w:hAnsi="宋体" w:eastAsia="宋体" w:cs="宋体"/>
                <w:kern w:val="0"/>
                <w:sz w:val="20"/>
                <w:szCs w:val="20"/>
              </w:rPr>
              <w:t>4.无正当理由大量反复申请</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r>
      <w:tr>
        <w:tblPrEx>
          <w:tblCellMar>
            <w:top w:w="15" w:type="dxa"/>
            <w:left w:w="15" w:type="dxa"/>
            <w:bottom w:w="15" w:type="dxa"/>
            <w:right w:w="15"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3406"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rPr>
                <w:rFonts w:ascii="宋体" w:hAnsi="宋体" w:eastAsia="宋体" w:cs="宋体"/>
                <w:kern w:val="0"/>
                <w:sz w:val="24"/>
                <w:szCs w:val="24"/>
              </w:rPr>
            </w:pPr>
            <w:r>
              <w:rPr>
                <w:rFonts w:hint="eastAsia" w:ascii="宋体" w:hAnsi="宋体" w:eastAsia="宋体" w:cs="宋体"/>
                <w:kern w:val="0"/>
                <w:sz w:val="20"/>
                <w:szCs w:val="20"/>
              </w:rPr>
              <w:t>5.要求行政机关确认或重新出具已获取信息</w:t>
            </w:r>
          </w:p>
        </w:tc>
        <w:tc>
          <w:tcPr>
            <w:tcW w:w="714" w:type="dxa"/>
            <w:tcBorders>
              <w:top w:val="nil"/>
              <w:left w:val="nil"/>
              <w:bottom w:val="inset"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inset"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inset"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inset"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inset"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inset"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p>
        </w:tc>
        <w:tc>
          <w:tcPr>
            <w:tcW w:w="714" w:type="dxa"/>
            <w:tcBorders>
              <w:top w:val="nil"/>
              <w:left w:val="nil"/>
              <w:bottom w:val="inset" w:color="auto" w:sz="8" w:space="0"/>
              <w:right w:val="single" w:color="auto" w:sz="8" w:space="0"/>
            </w:tcBorders>
            <w:tcMar>
              <w:top w:w="0" w:type="dxa"/>
              <w:left w:w="57" w:type="dxa"/>
              <w:bottom w:w="0" w:type="dxa"/>
              <w:right w:w="57" w:type="dxa"/>
            </w:tcMar>
          </w:tcPr>
          <w:p>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959"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（六）其他处理</w:t>
            </w:r>
          </w:p>
        </w:tc>
        <w:tc>
          <w:tcPr>
            <w:tcW w:w="340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rPr>
                <w:rFonts w:ascii="宋体" w:hAnsi="宋体" w:eastAsia="宋体" w:cs="宋体"/>
                <w:kern w:val="0"/>
                <w:sz w:val="24"/>
                <w:szCs w:val="24"/>
              </w:rPr>
            </w:pPr>
            <w:r>
              <w:rPr>
                <w:rFonts w:hint="eastAsia" w:ascii="宋体" w:hAnsi="宋体" w:eastAsia="宋体" w:cs="宋体"/>
                <w:kern w:val="0"/>
                <w:sz w:val="20"/>
                <w:szCs w:val="20"/>
              </w:rPr>
              <w:t>1.申请人无正当理由逾期不补正、行政机关不再处理其政府信息公开申请</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rPr>
                <w:rFonts w:ascii="宋体" w:hAnsi="宋体" w:eastAsia="宋体" w:cs="宋体"/>
                <w:kern w:val="0"/>
                <w:sz w:val="24"/>
                <w:szCs w:val="24"/>
              </w:rPr>
            </w:pPr>
            <w:r>
              <w:rPr>
                <w:rFonts w:hint="eastAsia" w:ascii="宋体" w:hAnsi="宋体" w:eastAsia="宋体" w:cs="宋体"/>
                <w:kern w:val="0"/>
                <w:sz w:val="20"/>
                <w:szCs w:val="20"/>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3.其他</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4365"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（七）总计</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r>
      <w:tr>
        <w:tblPrEx>
          <w:tblCellMar>
            <w:top w:w="15" w:type="dxa"/>
            <w:left w:w="15" w:type="dxa"/>
            <w:bottom w:w="15" w:type="dxa"/>
            <w:right w:w="15" w:type="dxa"/>
          </w:tblCellMar>
        </w:tblPrEx>
        <w:trPr>
          <w:jc w:val="center"/>
        </w:trPr>
        <w:tc>
          <w:tcPr>
            <w:tcW w:w="5150"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四、结转下年度继续办理</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r>
    </w:tbl>
    <w:p>
      <w:pPr>
        <w:widowControl/>
        <w:shd w:val="clear" w:color="auto" w:fill="FFFFFF"/>
        <w:jc w:val="center"/>
        <w:rPr>
          <w:rFonts w:hint="eastAsia" w:ascii="宋体" w:hAnsi="宋体" w:eastAsia="宋体" w:cs="宋体"/>
          <w:color w:val="333333"/>
          <w:kern w:val="0"/>
          <w:sz w:val="24"/>
          <w:szCs w:val="24"/>
        </w:rPr>
      </w:pPr>
    </w:p>
    <w:p>
      <w:pPr>
        <w:widowControl/>
        <w:shd w:val="clear" w:color="auto" w:fill="FFFFFF"/>
        <w:jc w:val="left"/>
        <w:rPr>
          <w:rFonts w:hint="eastAsia" w:ascii="宋体" w:hAnsi="宋体" w:eastAsia="宋体" w:cs="宋体"/>
          <w:color w:val="333333"/>
          <w:kern w:val="0"/>
          <w:sz w:val="24"/>
          <w:szCs w:val="24"/>
        </w:rPr>
      </w:pPr>
    </w:p>
    <w:p>
      <w:pPr>
        <w:widowControl/>
        <w:shd w:val="clear" w:color="auto" w:fill="FFFFFF"/>
        <w:ind w:firstLine="480"/>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四、政府信息公开行政复议、行政诉讼情况</w:t>
      </w:r>
    </w:p>
    <w:p>
      <w:pPr>
        <w:widowControl/>
        <w:shd w:val="clear" w:color="auto" w:fill="FFFFFF"/>
        <w:ind w:firstLine="480"/>
        <w:rPr>
          <w:rFonts w:hint="eastAsia" w:ascii="宋体" w:hAnsi="宋体" w:eastAsia="宋体" w:cs="宋体"/>
          <w:color w:val="333333"/>
          <w:kern w:val="0"/>
          <w:sz w:val="24"/>
          <w:szCs w:val="24"/>
        </w:rPr>
      </w:pPr>
    </w:p>
    <w:p>
      <w:pPr>
        <w:widowControl/>
        <w:shd w:val="clear" w:color="auto" w:fill="FFFFFF"/>
        <w:jc w:val="center"/>
        <w:rPr>
          <w:rFonts w:hint="eastAsia" w:ascii="宋体" w:hAnsi="宋体" w:eastAsia="宋体" w:cs="宋体"/>
          <w:color w:val="333333"/>
          <w:kern w:val="0"/>
          <w:sz w:val="24"/>
          <w:szCs w:val="24"/>
        </w:rPr>
      </w:pPr>
    </w:p>
    <w:tbl>
      <w:tblPr>
        <w:tblStyle w:val="3"/>
        <w:tblW w:w="9748" w:type="dxa"/>
        <w:jc w:val="center"/>
        <w:tblLayout w:type="autofit"/>
        <w:tblCellMar>
          <w:top w:w="15" w:type="dxa"/>
          <w:left w:w="15" w:type="dxa"/>
          <w:bottom w:w="15" w:type="dxa"/>
          <w:right w:w="15"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CellMar>
            <w:top w:w="15" w:type="dxa"/>
            <w:left w:w="15" w:type="dxa"/>
            <w:bottom w:w="15" w:type="dxa"/>
            <w:right w:w="15"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行政诉讼</w:t>
            </w:r>
          </w:p>
        </w:tc>
      </w:tr>
      <w:tr>
        <w:tblPrEx>
          <w:tblCellMar>
            <w:top w:w="15" w:type="dxa"/>
            <w:left w:w="15" w:type="dxa"/>
            <w:bottom w:w="15" w:type="dxa"/>
            <w:right w:w="15"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其他</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复议后起诉</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其他</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其他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r>
      <w:tr>
        <w:tblPrEx>
          <w:tblCellMar>
            <w:top w:w="15" w:type="dxa"/>
            <w:left w:w="15" w:type="dxa"/>
            <w:bottom w:w="15" w:type="dxa"/>
            <w:right w:w="15"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r>
    </w:tbl>
    <w:p>
      <w:pPr>
        <w:widowControl/>
        <w:shd w:val="clear" w:color="auto" w:fill="FFFFFF"/>
        <w:jc w:val="left"/>
        <w:rPr>
          <w:rFonts w:hint="eastAsia" w:ascii="宋体" w:hAnsi="宋体" w:eastAsia="宋体" w:cs="宋体"/>
          <w:color w:val="333333"/>
          <w:kern w:val="0"/>
          <w:sz w:val="24"/>
          <w:szCs w:val="24"/>
        </w:rPr>
      </w:pPr>
    </w:p>
    <w:p>
      <w:pPr>
        <w:widowControl/>
        <w:shd w:val="clear" w:color="auto" w:fill="FFFFFF"/>
        <w:jc w:val="left"/>
        <w:rPr>
          <w:rFonts w:hint="eastAsia" w:ascii="宋体" w:hAnsi="宋体" w:eastAsia="宋体" w:cs="宋体"/>
          <w:color w:val="333333"/>
          <w:kern w:val="0"/>
          <w:sz w:val="24"/>
          <w:szCs w:val="24"/>
        </w:rPr>
      </w:pPr>
    </w:p>
    <w:p>
      <w:pPr>
        <w:widowControl/>
        <w:shd w:val="clear" w:color="auto" w:fill="FFFFFF"/>
        <w:ind w:firstLine="480"/>
        <w:rPr>
          <w:rFonts w:hint="eastAsia" w:ascii="黑体" w:hAnsi="黑体" w:eastAsia="黑体" w:cs="黑体"/>
          <w:b/>
          <w:bCs/>
          <w:color w:val="333333"/>
          <w:kern w:val="0"/>
          <w:sz w:val="32"/>
          <w:szCs w:val="32"/>
        </w:rPr>
      </w:pPr>
      <w:r>
        <w:rPr>
          <w:rFonts w:hint="eastAsia" w:ascii="黑体" w:hAnsi="黑体" w:eastAsia="黑体" w:cs="黑体"/>
          <w:b/>
          <w:bCs/>
          <w:color w:val="333333"/>
          <w:kern w:val="0"/>
          <w:sz w:val="32"/>
          <w:szCs w:val="32"/>
        </w:rPr>
        <w:t>五、存在的主要问题及改进情况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仿宋_GB2312" w:hAnsi="仿宋_GB2312" w:eastAsia="仿宋_GB2312" w:cs="仿宋_GB2312"/>
          <w:i w:val="0"/>
          <w:iCs w:val="0"/>
          <w:caps w:val="0"/>
          <w:color w:val="3D3D3D"/>
          <w:spacing w:val="0"/>
          <w:kern w:val="0"/>
          <w:sz w:val="32"/>
          <w:szCs w:val="32"/>
          <w:shd w:val="clear" w:fill="FFFFFF"/>
          <w:lang w:val="en-US" w:eastAsia="zh-CN" w:bidi="ar"/>
        </w:rPr>
      </w:pPr>
      <w:r>
        <w:rPr>
          <w:rFonts w:hint="eastAsia" w:ascii="微软雅黑" w:hAnsi="微软雅黑" w:eastAsia="微软雅黑" w:cs="微软雅黑"/>
          <w:i w:val="0"/>
          <w:iCs w:val="0"/>
          <w:caps w:val="0"/>
          <w:color w:val="3D3D3D"/>
          <w:spacing w:val="0"/>
          <w:sz w:val="24"/>
          <w:szCs w:val="24"/>
          <w:shd w:val="clear" w:fill="FFFFFF"/>
        </w:rPr>
        <w:t xml:space="preserve">  </w:t>
      </w:r>
      <w:r>
        <w:rPr>
          <w:rFonts w:hint="eastAsia" w:ascii="楷体" w:hAnsi="楷体" w:eastAsia="楷体" w:cs="楷体"/>
          <w:b/>
          <w:bCs/>
          <w:i w:val="0"/>
          <w:iCs w:val="0"/>
          <w:caps w:val="0"/>
          <w:color w:val="3D3D3D"/>
          <w:spacing w:val="0"/>
          <w:sz w:val="32"/>
          <w:szCs w:val="32"/>
          <w:shd w:val="clear" w:fill="FFFFFF"/>
        </w:rPr>
        <w:t>（一）存在问题</w:t>
      </w:r>
      <w:r>
        <w:rPr>
          <w:rFonts w:hint="eastAsia" w:ascii="楷体" w:hAnsi="楷体" w:eastAsia="楷体" w:cs="楷体"/>
          <w:b/>
          <w:bCs/>
          <w:i w:val="0"/>
          <w:iCs w:val="0"/>
          <w:caps w:val="0"/>
          <w:color w:val="3D3D3D"/>
          <w:spacing w:val="0"/>
          <w:sz w:val="32"/>
          <w:szCs w:val="32"/>
          <w:shd w:val="clear" w:fill="FFFFFF"/>
          <w:lang w:eastAsia="zh-CN"/>
        </w:rPr>
        <w:t>。</w:t>
      </w:r>
      <w:r>
        <w:rPr>
          <w:rFonts w:hint="eastAsia" w:ascii="仿宋_GB2312" w:hAnsi="仿宋_GB2312" w:eastAsia="仿宋_GB2312" w:cs="仿宋_GB2312"/>
          <w:i w:val="0"/>
          <w:iCs w:val="0"/>
          <w:caps w:val="0"/>
          <w:color w:val="3D3D3D"/>
          <w:spacing w:val="0"/>
          <w:kern w:val="0"/>
          <w:sz w:val="32"/>
          <w:szCs w:val="32"/>
          <w:shd w:val="clear" w:fill="FFFFFF"/>
          <w:lang w:val="en-US" w:eastAsia="zh-CN" w:bidi="ar"/>
        </w:rPr>
        <w:t>一是少数科室对政务公开工作的重要性、时效性认识不足，公开有不及时的情况。二是负责政府信息公开的工作人员的业务素质和能力还需要进一步提高，以适应新形势下对政务公开工作的新要求。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仿宋_GB2312" w:hAnsi="仿宋_GB2312" w:eastAsia="仿宋_GB2312" w:cs="仿宋_GB2312"/>
          <w:i w:val="0"/>
          <w:iCs w:val="0"/>
          <w:caps w:val="0"/>
          <w:color w:val="3D3D3D"/>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D3D3D"/>
          <w:spacing w:val="0"/>
          <w:kern w:val="0"/>
          <w:sz w:val="32"/>
          <w:szCs w:val="32"/>
          <w:shd w:val="clear" w:fill="FFFFFF"/>
          <w:lang w:val="en-US" w:eastAsia="zh-CN" w:bidi="ar"/>
        </w:rPr>
        <w:t xml:space="preserve">    </w:t>
      </w:r>
      <w:r>
        <w:rPr>
          <w:rFonts w:hint="eastAsia" w:ascii="楷体" w:hAnsi="楷体" w:eastAsia="楷体" w:cs="楷体"/>
          <w:b/>
          <w:bCs/>
          <w:i w:val="0"/>
          <w:iCs w:val="0"/>
          <w:caps w:val="0"/>
          <w:color w:val="3D3D3D"/>
          <w:spacing w:val="0"/>
          <w:sz w:val="32"/>
          <w:szCs w:val="32"/>
          <w:shd w:val="clear" w:fill="FFFFFF"/>
          <w:lang w:val="en-US" w:eastAsia="zh-CN"/>
        </w:rPr>
        <w:t> （二）下步工作计划。</w:t>
      </w:r>
      <w:r>
        <w:rPr>
          <w:rFonts w:hint="eastAsia" w:ascii="仿宋_GB2312" w:hAnsi="仿宋_GB2312" w:eastAsia="仿宋_GB2312" w:cs="仿宋_GB2312"/>
          <w:i w:val="0"/>
          <w:iCs w:val="0"/>
          <w:caps w:val="0"/>
          <w:color w:val="3D3D3D"/>
          <w:spacing w:val="0"/>
          <w:kern w:val="0"/>
          <w:sz w:val="32"/>
          <w:szCs w:val="32"/>
          <w:shd w:val="clear" w:fill="FFFFFF"/>
          <w:lang w:val="en-US" w:eastAsia="zh-CN" w:bidi="ar"/>
        </w:rPr>
        <w:t>我局将围绕机制完善提升质量、工作创新丰富内容加强政务公开工作。一是以完善内部制度、规范办理流程、严格审核标准为抓手，加强对拟公开事项的内容审查，从源头上提升政务公开工作质量。二是加大培训力度，压实各科室责任，多形式、多维度、多层面拓展信息公开渠道和丰富公开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643" w:firstLineChars="200"/>
        <w:rPr>
          <w:rFonts w:hint="eastAsia" w:ascii="黑体" w:hAnsi="黑体" w:eastAsia="黑体" w:cs="黑体"/>
          <w:b/>
          <w:bCs/>
          <w:i w:val="0"/>
          <w:iCs w:val="0"/>
          <w:caps w:val="0"/>
          <w:color w:val="333333"/>
          <w:spacing w:val="0"/>
          <w:sz w:val="32"/>
          <w:szCs w:val="32"/>
        </w:rPr>
      </w:pPr>
      <w:r>
        <w:rPr>
          <w:rFonts w:hint="eastAsia" w:ascii="黑体" w:hAnsi="黑体" w:eastAsia="黑体" w:cs="黑体"/>
          <w:b/>
          <w:bCs/>
          <w:color w:val="333333"/>
          <w:kern w:val="0"/>
          <w:sz w:val="32"/>
          <w:szCs w:val="32"/>
        </w:rPr>
        <w:t>六、其他需要报告的事项</w:t>
      </w:r>
      <w:r>
        <w:rPr>
          <w:rFonts w:hint="eastAsia" w:ascii="黑体" w:hAnsi="黑体" w:eastAsia="黑体" w:cs="黑体"/>
          <w:b/>
          <w:bCs/>
          <w:i w:val="0"/>
          <w:iCs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firstLine="640" w:firstLineChars="200"/>
        <w:jc w:val="left"/>
        <w:rPr>
          <w:rFonts w:hint="eastAsia" w:ascii="仿宋_GB2312" w:hAnsi="仿宋_GB2312" w:eastAsia="仿宋_GB2312" w:cs="仿宋_GB2312"/>
          <w:i w:val="0"/>
          <w:iCs w:val="0"/>
          <w:caps w:val="0"/>
          <w:color w:val="3D3D3D"/>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D3D3D"/>
          <w:spacing w:val="0"/>
          <w:kern w:val="0"/>
          <w:sz w:val="32"/>
          <w:szCs w:val="32"/>
          <w:shd w:val="clear" w:fill="FFFFFF"/>
          <w:lang w:val="en-US" w:eastAsia="zh-CN" w:bidi="ar"/>
        </w:rPr>
        <w:t>2024年，我局未产生政府信息处理费收取情况。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firstLine="640" w:firstLineChars="200"/>
        <w:jc w:val="left"/>
        <w:rPr>
          <w:rFonts w:hint="eastAsia" w:ascii="仿宋_GB2312" w:hAnsi="仿宋_GB2312" w:eastAsia="仿宋_GB2312" w:cs="仿宋_GB2312"/>
          <w:i w:val="0"/>
          <w:iCs w:val="0"/>
          <w:caps w:val="0"/>
          <w:color w:val="3D3D3D"/>
          <w:spacing w:val="0"/>
          <w:kern w:val="0"/>
          <w:sz w:val="32"/>
          <w:szCs w:val="32"/>
          <w:shd w:val="clear" w:fill="FFFFFF"/>
          <w:lang w:val="en-US" w:eastAsia="zh-CN" w:bidi="ar"/>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firstLine="4480" w:firstLineChars="1400"/>
        <w:jc w:val="left"/>
        <w:rPr>
          <w:rFonts w:hint="eastAsia" w:ascii="仿宋_GB2312" w:hAnsi="仿宋_GB2312" w:eastAsia="仿宋_GB2312" w:cs="仿宋_GB2312"/>
          <w:i w:val="0"/>
          <w:iCs w:val="0"/>
          <w:caps w:val="0"/>
          <w:color w:val="3D3D3D"/>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D3D3D"/>
          <w:spacing w:val="0"/>
          <w:kern w:val="0"/>
          <w:sz w:val="32"/>
          <w:szCs w:val="32"/>
          <w:shd w:val="clear" w:fill="FFFFFF"/>
          <w:lang w:val="en-US" w:eastAsia="zh-CN" w:bidi="ar"/>
        </w:rPr>
        <w:t>尧都区市场监督管理局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firstLine="4800" w:firstLineChars="1500"/>
        <w:jc w:val="left"/>
        <w:rPr>
          <w:rFonts w:hint="default" w:ascii="仿宋_GB2312" w:hAnsi="仿宋_GB2312" w:eastAsia="仿宋_GB2312" w:cs="仿宋_GB2312"/>
          <w:i w:val="0"/>
          <w:iCs w:val="0"/>
          <w:caps w:val="0"/>
          <w:color w:val="3D3D3D"/>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D3D3D"/>
          <w:spacing w:val="0"/>
          <w:kern w:val="0"/>
          <w:sz w:val="32"/>
          <w:szCs w:val="32"/>
          <w:shd w:val="clear" w:fill="FFFFFF"/>
          <w:lang w:val="en-US" w:eastAsia="zh-CN" w:bidi="ar"/>
        </w:rPr>
        <w:t>2025年1月16日</w:t>
      </w:r>
    </w:p>
    <w:p>
      <w:pPr>
        <w:rPr>
          <w:rFonts w:hint="eastAsia" w:ascii="仿宋_GB2312" w:hAnsi="仿宋_GB2312" w:eastAsia="仿宋_GB2312" w:cs="仿宋_GB2312"/>
          <w:i w:val="0"/>
          <w:iCs w:val="0"/>
          <w:caps w:val="0"/>
          <w:color w:val="3D3D3D"/>
          <w:spacing w:val="0"/>
          <w:kern w:val="0"/>
          <w:sz w:val="32"/>
          <w:szCs w:val="32"/>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A0FE3"/>
    <w:multiLevelType w:val="singleLevel"/>
    <w:tmpl w:val="F8BA0FE3"/>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07716E"/>
    <w:rsid w:val="05D610DF"/>
    <w:rsid w:val="0AC77248"/>
    <w:rsid w:val="0B8B64C8"/>
    <w:rsid w:val="0FFA1E6E"/>
    <w:rsid w:val="153E3968"/>
    <w:rsid w:val="171C091C"/>
    <w:rsid w:val="1881137E"/>
    <w:rsid w:val="1B285AE1"/>
    <w:rsid w:val="1CB13A5E"/>
    <w:rsid w:val="1E285DF8"/>
    <w:rsid w:val="1E6E5F01"/>
    <w:rsid w:val="24893E4C"/>
    <w:rsid w:val="29363ABF"/>
    <w:rsid w:val="2CE60D5C"/>
    <w:rsid w:val="30A60FDC"/>
    <w:rsid w:val="320133AC"/>
    <w:rsid w:val="44E50B32"/>
    <w:rsid w:val="47CA56A6"/>
    <w:rsid w:val="4AB4263E"/>
    <w:rsid w:val="4B5856BF"/>
    <w:rsid w:val="53E47AF0"/>
    <w:rsid w:val="562C2C6E"/>
    <w:rsid w:val="5E127950"/>
    <w:rsid w:val="5F07716E"/>
    <w:rsid w:val="61E82EA1"/>
    <w:rsid w:val="68776D2D"/>
    <w:rsid w:val="6CD60AC3"/>
    <w:rsid w:val="72086C48"/>
    <w:rsid w:val="752B5127"/>
    <w:rsid w:val="79DF2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2036</Words>
  <Characters>2079</Characters>
  <Lines>0</Lines>
  <Paragraphs>0</Paragraphs>
  <TotalTime>75</TotalTime>
  <ScaleCrop>false</ScaleCrop>
  <LinksUpToDate>false</LinksUpToDate>
  <CharactersWithSpaces>2098</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2025-01-08T07:47:00Z</dcterms:created>
  <dc:creator>小雒</dc:creator>
  <cp:lastModifiedBy>Administrator</cp:lastModifiedBy>
  <dcterms:modified xsi:type="dcterms:W3CDTF">2025-10-17T07:36:29Z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19D97730FBB04FF2A9D4DEDDB42E4BB1_13</vt:lpwstr>
  </property>
  <property fmtid="{D5CDD505-2E9C-101B-9397-08002B2CF9AE}" pid="4" name="KSOTemplateDocerSaveRecord">
    <vt:lpwstr>eyJoZGlkIjoiODQ3ODljMmE0OWRiN2FmMWVhZWIyMmU2MGRkMDM1MWIiLCJ1c2VySWQiOiI1MTc4NDc3NTgifQ==</vt:lpwstr>
  </property>
</Properties>
</file>