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305" w:rsidRPr="00384FCE" w:rsidRDefault="006A7305" w:rsidP="00384FCE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384FC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尧都区商务局</w:t>
      </w:r>
    </w:p>
    <w:p w:rsidR="006A7305" w:rsidRPr="00384FCE" w:rsidRDefault="006A7305" w:rsidP="00384FCE">
      <w:pPr>
        <w:widowControl/>
        <w:shd w:val="clear" w:color="auto" w:fill="FFFFFF"/>
        <w:jc w:val="center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</w:pPr>
      <w:r w:rsidRPr="00384FCE"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</w:rPr>
        <w:t>2019</w:t>
      </w:r>
      <w:r w:rsidRPr="00384FCE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</w:rPr>
        <w:t>年政府信息公开年度报告</w:t>
      </w:r>
    </w:p>
    <w:p w:rsidR="006A7305" w:rsidRDefault="006A7305" w:rsidP="00536527">
      <w:pPr>
        <w:spacing w:line="560" w:lineRule="exact"/>
        <w:ind w:firstLineChars="200" w:firstLine="640"/>
        <w:rPr>
          <w:rFonts w:ascii="Times New Roman" w:eastAsia="黑体" w:hAnsi="黑体"/>
          <w:color w:val="000000"/>
          <w:sz w:val="32"/>
          <w:szCs w:val="32"/>
        </w:rPr>
      </w:pPr>
      <w:r w:rsidRPr="00A26555">
        <w:rPr>
          <w:rFonts w:ascii="Times New Roman" w:eastAsia="黑体" w:hAnsi="黑体" w:hint="eastAsia"/>
          <w:color w:val="000000"/>
          <w:sz w:val="32"/>
          <w:szCs w:val="32"/>
        </w:rPr>
        <w:t>一、</w:t>
      </w:r>
      <w:r>
        <w:rPr>
          <w:rFonts w:ascii="Times New Roman" w:eastAsia="黑体" w:hAnsi="黑体" w:hint="eastAsia"/>
          <w:color w:val="000000"/>
          <w:sz w:val="32"/>
          <w:szCs w:val="32"/>
        </w:rPr>
        <w:t>总体</w:t>
      </w:r>
      <w:r w:rsidRPr="00A26555">
        <w:rPr>
          <w:rFonts w:ascii="Times New Roman" w:eastAsia="黑体" w:hAnsi="黑体" w:hint="eastAsia"/>
          <w:color w:val="000000"/>
          <w:sz w:val="32"/>
          <w:szCs w:val="32"/>
        </w:rPr>
        <w:t>情况</w:t>
      </w:r>
    </w:p>
    <w:p w:rsidR="006A7305" w:rsidRDefault="006A7305" w:rsidP="0053652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（一）未公开行政法规、规章和规范性文件方面公开信息；</w:t>
      </w:r>
    </w:p>
    <w:p w:rsidR="006A7305" w:rsidRDefault="006A7305" w:rsidP="0053652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（二）未公开国民经济和社会发展规划、专项规划、区域规划及相关政策方面公开信息；</w:t>
      </w:r>
    </w:p>
    <w:p w:rsidR="006A7305" w:rsidRDefault="006A7305" w:rsidP="0053652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（三）未公开国民经济和社会发展统计信息方面的信息；</w:t>
      </w:r>
    </w:p>
    <w:p w:rsidR="006A7305" w:rsidRDefault="006A7305" w:rsidP="0053652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（四）未公开财政预算、决算报告；</w:t>
      </w:r>
    </w:p>
    <w:p w:rsidR="006A7305" w:rsidRDefault="006A7305" w:rsidP="0053652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（五）不涉及相关行政事业性收费的项目、依据、标准；</w:t>
      </w:r>
    </w:p>
    <w:p w:rsidR="006A7305" w:rsidRDefault="006A7305" w:rsidP="00536527">
      <w:pPr>
        <w:spacing w:line="560" w:lineRule="exact"/>
        <w:ind w:firstLineChars="200" w:firstLine="640"/>
        <w:rPr>
          <w:rFonts w:ascii="仿宋_GB2312" w:eastAsia="仿宋_GB2312" w:hAnsi="Times New Roman"/>
          <w:color w:val="000000"/>
          <w:sz w:val="32"/>
          <w:szCs w:val="32"/>
        </w:rPr>
      </w:pPr>
      <w:r>
        <w:rPr>
          <w:rFonts w:ascii="仿宋_GB2312" w:eastAsia="仿宋_GB2312" w:hAnsi="Times New Roman" w:hint="eastAsia"/>
          <w:color w:val="000000"/>
          <w:sz w:val="32"/>
          <w:szCs w:val="32"/>
        </w:rPr>
        <w:t>（六）未公开政府集中采购项目的目录、标准及实施情况；</w:t>
      </w:r>
    </w:p>
    <w:p w:rsidR="006A7305" w:rsidRDefault="006A7305" w:rsidP="00536527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hint="eastAsia"/>
          <w:sz w:val="32"/>
          <w:szCs w:val="32"/>
        </w:rPr>
        <w:t>（七）</w:t>
      </w:r>
      <w:bookmarkStart w:id="0" w:name="#top"/>
      <w:bookmarkEnd w:id="0"/>
      <w:r>
        <w:rPr>
          <w:rFonts w:ascii="仿宋_GB2312" w:eastAsia="仿宋_GB2312" w:hAnsi="Times New Roman" w:hint="eastAsia"/>
          <w:sz w:val="32"/>
          <w:szCs w:val="32"/>
        </w:rPr>
        <w:t>未公开</w:t>
      </w:r>
      <w:r w:rsidRPr="007A36BE"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行政许可的事项、依据、条件、数量、程序、期限以及申请行政许可需要提交的全部材料目录及办理情况</w:t>
      </w: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方面的信息；</w:t>
      </w:r>
    </w:p>
    <w:p w:rsidR="006A7305" w:rsidRDefault="006A7305" w:rsidP="00536527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（八）未公开重大建设项目的批准和实施情况方面的信息；</w:t>
      </w:r>
    </w:p>
    <w:p w:rsidR="006A7305" w:rsidRDefault="006A7305" w:rsidP="00536527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（九）通过微信公众平台公开尧都区招商局驻村帮扶工作队扶贫工作信息，内容为帮扶工作队员下乡扶贫的情况；</w:t>
      </w:r>
    </w:p>
    <w:p w:rsidR="006A7305" w:rsidRDefault="006A7305" w:rsidP="00536527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t>（十）未公开突发公共事件的应急预案、预警信息及对应情况方面的信息；</w:t>
      </w:r>
    </w:p>
    <w:p w:rsidR="006A7305" w:rsidRPr="004551F8" w:rsidRDefault="006A7305" w:rsidP="00536527">
      <w:pPr>
        <w:pStyle w:val="a3"/>
        <w:spacing w:before="0" w:beforeAutospacing="0" w:after="0" w:afterAutospacing="0" w:line="560" w:lineRule="exact"/>
        <w:ind w:firstLineChars="200" w:firstLine="640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color w:val="000000"/>
          <w:kern w:val="2"/>
          <w:sz w:val="32"/>
          <w:szCs w:val="32"/>
        </w:rPr>
        <w:lastRenderedPageBreak/>
        <w:t>（十一）未公开环境保护、公共卫生、安全生产、食品药品、产品质量的监督检查情况方面的信息。</w:t>
      </w:r>
    </w:p>
    <w:p w:rsidR="006A7305" w:rsidRPr="00384FCE" w:rsidRDefault="006A7305" w:rsidP="00384FCE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bCs/>
          <w:color w:val="000000"/>
          <w:kern w:val="0"/>
          <w:sz w:val="32"/>
          <w:szCs w:val="32"/>
        </w:rPr>
      </w:pPr>
      <w:r w:rsidRPr="00384FCE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二、主动公开政府信息情况</w:t>
      </w:r>
    </w:p>
    <w:tbl>
      <w:tblPr>
        <w:tblW w:w="8140" w:type="dxa"/>
        <w:jc w:val="center"/>
        <w:tblCellMar>
          <w:left w:w="0" w:type="dxa"/>
          <w:right w:w="0" w:type="dxa"/>
        </w:tblCellMar>
        <w:tblLook w:val="00A0"/>
      </w:tblPr>
      <w:tblGrid>
        <w:gridCol w:w="3113"/>
        <w:gridCol w:w="1875"/>
        <w:gridCol w:w="6"/>
        <w:gridCol w:w="1265"/>
        <w:gridCol w:w="1881"/>
      </w:tblGrid>
      <w:tr w:rsidR="006A7305" w:rsidRPr="00B14EF4" w:rsidTr="0042114A">
        <w:trPr>
          <w:trHeight w:val="495"/>
          <w:jc w:val="center"/>
        </w:trPr>
        <w:tc>
          <w:tcPr>
            <w:tcW w:w="814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:rsidR="006A7305" w:rsidRPr="00B14EF4" w:rsidTr="0042114A">
        <w:trPr>
          <w:trHeight w:val="882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本年新</w:t>
            </w:r>
            <w:r w:rsidRPr="0042114A">
              <w:rPr>
                <w:rFonts w:ascii="宋体" w:cs="宋体"/>
                <w:color w:val="000000"/>
                <w:kern w:val="0"/>
                <w:sz w:val="20"/>
                <w:szCs w:val="20"/>
              </w:rPr>
              <w:br/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 w:rsidR="006A7305" w:rsidRPr="00B14EF4" w:rsidTr="0042114A">
        <w:trPr>
          <w:trHeight w:val="523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trHeight w:val="47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trHeight w:val="480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:rsidR="006A7305" w:rsidRPr="00B14EF4" w:rsidTr="0042114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A7305" w:rsidRPr="00B14EF4" w:rsidTr="0042114A">
        <w:trPr>
          <w:trHeight w:val="528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trHeight w:val="55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536527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536527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A7305" w:rsidRPr="00B14EF4" w:rsidTr="0042114A">
        <w:trPr>
          <w:trHeight w:val="40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:rsidR="006A7305" w:rsidRPr="00B14EF4" w:rsidTr="0042114A">
        <w:trPr>
          <w:trHeight w:val="634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 w:rsidR="006A7305" w:rsidRPr="00B14EF4" w:rsidTr="0042114A">
        <w:trPr>
          <w:trHeight w:val="43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trHeight w:val="40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trHeight w:val="474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:rsidR="006A7305" w:rsidRPr="00B14EF4" w:rsidTr="0042114A">
        <w:trPr>
          <w:trHeight w:val="270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本年增</w:t>
            </w:r>
            <w:r w:rsidRPr="0042114A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减</w:t>
            </w:r>
          </w:p>
        </w:tc>
      </w:tr>
      <w:tr w:rsidR="006A7305" w:rsidRPr="00B14EF4" w:rsidTr="0042114A">
        <w:trPr>
          <w:trHeight w:val="551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trHeight w:val="476"/>
          <w:jc w:val="center"/>
        </w:trPr>
        <w:tc>
          <w:tcPr>
            <w:tcW w:w="8140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 w:rsidR="006A7305" w:rsidRPr="00B14EF4" w:rsidTr="0042114A">
        <w:trPr>
          <w:trHeight w:val="585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4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 w:rsidR="006A7305" w:rsidRPr="00B14EF4" w:rsidTr="0042114A">
        <w:trPr>
          <w:trHeight w:val="539"/>
          <w:jc w:val="center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8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314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6A7305" w:rsidRPr="008B2458" w:rsidRDefault="006A7305" w:rsidP="0042114A">
      <w:pPr>
        <w:widowControl/>
        <w:shd w:val="clear" w:color="auto" w:fill="FFFFFF"/>
        <w:spacing w:after="240"/>
        <w:ind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B245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三、收到和处理政府信息公开申请情况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 w:rsidR="006A7305" w:rsidRPr="00B14EF4" w:rsidTr="0042114A"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</w:t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组织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法律服务机构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</w:tr>
      <w:tr w:rsidR="006A7305" w:rsidRPr="00B14EF4" w:rsidTr="0042114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一、本年新收政府信息公开申请数量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危及“三安全一稳定”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6.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7.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8.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1.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2.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3.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4.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/>
                <w:kern w:val="0"/>
                <w:sz w:val="20"/>
                <w:szCs w:val="20"/>
              </w:rPr>
              <w:t>5.</w:t>
            </w: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2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楷体" w:eastAsia="楷体" w:hAnsi="楷体" w:cs="宋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</w:tr>
      <w:tr w:rsidR="006A7305" w:rsidRPr="00B14EF4" w:rsidTr="0042114A">
        <w:trPr>
          <w:jc w:val="center"/>
        </w:trPr>
        <w:tc>
          <w:tcPr>
            <w:tcW w:w="3479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6A7305" w:rsidRPr="0042114A" w:rsidRDefault="006A7305" w:rsidP="0042114A">
      <w:pPr>
        <w:widowControl/>
        <w:shd w:val="clear" w:color="auto" w:fill="FFFFFF"/>
        <w:ind w:firstLine="480"/>
        <w:rPr>
          <w:rFonts w:ascii="宋体" w:cs="宋体"/>
          <w:color w:val="333333"/>
          <w:kern w:val="0"/>
          <w:sz w:val="20"/>
          <w:szCs w:val="20"/>
        </w:rPr>
      </w:pPr>
      <w:r w:rsidRPr="008B245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四、政府信息公开行政复议、行政诉讼情况</w:t>
      </w:r>
    </w:p>
    <w:tbl>
      <w:tblPr>
        <w:tblW w:w="9071" w:type="dxa"/>
        <w:jc w:val="center"/>
        <w:tblCellMar>
          <w:left w:w="0" w:type="dxa"/>
          <w:right w:w="0" w:type="dxa"/>
        </w:tblCellMar>
        <w:tblLook w:val="00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6A7305" w:rsidRPr="00B14EF4" w:rsidTr="0042114A">
        <w:trPr>
          <w:jc w:val="center"/>
        </w:trPr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6A7305" w:rsidRPr="00B14EF4" w:rsidTr="0042114A"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</w:t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结</w:t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其</w:t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尚</w:t>
            </w: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6A7305" w:rsidRPr="00B14EF4" w:rsidTr="0042114A">
        <w:trPr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:rsidR="006A7305" w:rsidRPr="00B14EF4" w:rsidTr="0042114A">
        <w:trPr>
          <w:jc w:val="center"/>
        </w:trPr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 w:rsidRPr="0042114A">
              <w:rPr>
                <w:rFonts w:cs="宋体"/>
                <w:kern w:val="0"/>
                <w:sz w:val="20"/>
                <w:szCs w:val="20"/>
              </w:rPr>
              <w:lastRenderedPageBreak/>
              <w:t> </w:t>
            </w: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center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A7305" w:rsidRPr="0042114A" w:rsidRDefault="006A7305" w:rsidP="0042114A">
            <w:pPr>
              <w:widowControl/>
              <w:jc w:val="left"/>
              <w:rPr>
                <w:rFonts w:ascii="宋体" w:cs="宋体"/>
                <w:kern w:val="0"/>
                <w:sz w:val="24"/>
                <w:szCs w:val="24"/>
              </w:rPr>
            </w:pPr>
            <w:r>
              <w:rPr>
                <w:rFonts w:ascii="宋体" w:cs="宋体"/>
                <w:kern w:val="0"/>
                <w:sz w:val="24"/>
                <w:szCs w:val="24"/>
              </w:rPr>
              <w:t>0</w:t>
            </w:r>
          </w:p>
        </w:tc>
      </w:tr>
    </w:tbl>
    <w:p w:rsidR="006A7305" w:rsidRDefault="006A7305" w:rsidP="00536527">
      <w:pPr>
        <w:widowControl/>
        <w:shd w:val="clear" w:color="auto" w:fill="FFFFFF"/>
        <w:ind w:firstLineChars="150" w:firstLine="480"/>
        <w:rPr>
          <w:rFonts w:ascii="黑体" w:eastAsia="黑体" w:hAnsi="黑体" w:cs="宋体"/>
          <w:color w:val="000000"/>
          <w:kern w:val="0"/>
          <w:sz w:val="32"/>
          <w:szCs w:val="32"/>
        </w:rPr>
      </w:pPr>
      <w:r w:rsidRPr="008B2458">
        <w:rPr>
          <w:rFonts w:ascii="黑体" w:eastAsia="黑体" w:hAnsi="黑体" w:cs="宋体" w:hint="eastAsia"/>
          <w:bCs/>
          <w:color w:val="000000"/>
          <w:kern w:val="0"/>
          <w:sz w:val="32"/>
          <w:szCs w:val="32"/>
        </w:rPr>
        <w:t>五、存在的主要问题及改进情况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楷体" w:hAnsi="楷体" w:cs="Times New Roman" w:hint="eastAsia"/>
          <w:color w:val="000000"/>
          <w:kern w:val="2"/>
          <w:sz w:val="32"/>
          <w:szCs w:val="32"/>
        </w:rPr>
        <w:t>（一）主要问题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、各股室主动公开意识有待进一步加强。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、政府信息主动公开的深度还有待进一步拓展。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、政府信息公开渠道还有待进一步完善。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楷体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楷体" w:hAnsi="楷体" w:cs="Times New Roman" w:hint="eastAsia"/>
          <w:color w:val="000000"/>
          <w:kern w:val="2"/>
          <w:sz w:val="32"/>
          <w:szCs w:val="32"/>
        </w:rPr>
        <w:t>（二）改进措施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1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、加强组织领导，进一步完善工作机制，明确政府信息公开机构职责和任务，形成职责分明、分工合理、各负其责、齐抓共管的工作局面。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2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、加大宣传力度，塑造良好的政府信息公开工作氛围。</w:t>
      </w:r>
    </w:p>
    <w:p w:rsidR="006A7305" w:rsidRPr="00A26555" w:rsidRDefault="006A7305" w:rsidP="00536527">
      <w:pPr>
        <w:pStyle w:val="a3"/>
        <w:spacing w:before="0" w:beforeAutospacing="0" w:after="0" w:afterAutospacing="0" w:line="640" w:lineRule="exact"/>
        <w:ind w:firstLineChars="200" w:firstLine="640"/>
        <w:jc w:val="both"/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</w:pPr>
      <w:r w:rsidRPr="00A26555">
        <w:rPr>
          <w:rFonts w:ascii="Times New Roman" w:eastAsia="仿宋_GB2312" w:hAnsi="Times New Roman" w:cs="Times New Roman"/>
          <w:color w:val="000000"/>
          <w:kern w:val="2"/>
          <w:sz w:val="32"/>
          <w:szCs w:val="32"/>
        </w:rPr>
        <w:t>3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、围绕中心工作，公开尤其是</w:t>
      </w:r>
      <w:r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群众</w:t>
      </w:r>
      <w:r w:rsidRPr="00A26555">
        <w:rPr>
          <w:rFonts w:ascii="Times New Roman" w:eastAsia="仿宋_GB2312" w:hAnsi="Times New Roman" w:cs="Times New Roman" w:hint="eastAsia"/>
          <w:color w:val="000000"/>
          <w:kern w:val="2"/>
          <w:sz w:val="32"/>
          <w:szCs w:val="32"/>
        </w:rPr>
        <w:t>关注的热点问题。以公众关心的热点、难点问题为导向，全面、及时地公开政府信息，确保政府信息公开工作的针对性和实效性。</w:t>
      </w:r>
    </w:p>
    <w:p w:rsidR="006A7305" w:rsidRPr="008B2458" w:rsidRDefault="006A7305" w:rsidP="00536527">
      <w:pPr>
        <w:widowControl/>
        <w:shd w:val="clear" w:color="auto" w:fill="FFFFFF"/>
        <w:ind w:firstLineChars="200" w:firstLine="640"/>
        <w:rPr>
          <w:rFonts w:ascii="黑体" w:eastAsia="黑体" w:hAnsi="黑体"/>
          <w:bCs/>
          <w:color w:val="000000"/>
          <w:kern w:val="0"/>
          <w:sz w:val="32"/>
          <w:szCs w:val="32"/>
        </w:rPr>
      </w:pPr>
      <w:r w:rsidRPr="008B2458">
        <w:rPr>
          <w:rFonts w:ascii="黑体" w:eastAsia="黑体" w:hAnsi="黑体" w:hint="eastAsia"/>
          <w:bCs/>
          <w:color w:val="000000"/>
          <w:kern w:val="0"/>
          <w:sz w:val="32"/>
          <w:szCs w:val="32"/>
        </w:rPr>
        <w:t>六、其他需要报告的事项</w:t>
      </w:r>
    </w:p>
    <w:p w:rsidR="006A7305" w:rsidRDefault="006A7305" w:rsidP="00536527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  <w:r w:rsidRPr="008B2458">
        <w:rPr>
          <w:rFonts w:ascii="仿宋_GB2312" w:eastAsia="仿宋_GB2312" w:hint="eastAsia"/>
          <w:sz w:val="32"/>
          <w:szCs w:val="32"/>
        </w:rPr>
        <w:t>无其他需要报告的事项。</w:t>
      </w:r>
    </w:p>
    <w:p w:rsidR="006A7305" w:rsidRDefault="006A7305" w:rsidP="00536527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</w:p>
    <w:p w:rsidR="006A7305" w:rsidRDefault="006A7305" w:rsidP="00536527">
      <w:pPr>
        <w:widowControl/>
        <w:shd w:val="clear" w:color="auto" w:fill="FFFFFF"/>
        <w:ind w:firstLineChars="200" w:firstLine="640"/>
        <w:rPr>
          <w:rFonts w:ascii="仿宋_GB2312" w:eastAsia="仿宋_GB2312"/>
          <w:sz w:val="32"/>
          <w:szCs w:val="32"/>
        </w:rPr>
      </w:pPr>
    </w:p>
    <w:p w:rsidR="006A7305" w:rsidRPr="005769E5" w:rsidRDefault="006A7305" w:rsidP="00536527">
      <w:pPr>
        <w:widowControl/>
        <w:shd w:val="clear" w:color="auto" w:fill="FFFFFF"/>
        <w:ind w:firstLineChars="1550" w:firstLine="4960"/>
        <w:rPr>
          <w:rFonts w:ascii="Times New Roman" w:eastAsia="仿宋_GB2312" w:hAnsi="Times New Roman"/>
          <w:sz w:val="32"/>
          <w:szCs w:val="32"/>
        </w:rPr>
      </w:pPr>
      <w:r w:rsidRPr="005769E5">
        <w:rPr>
          <w:rFonts w:ascii="Times New Roman" w:eastAsia="仿宋_GB2312" w:hAnsi="Times New Roman" w:hint="eastAsia"/>
          <w:sz w:val="32"/>
          <w:szCs w:val="32"/>
        </w:rPr>
        <w:t>尧都区商务局</w:t>
      </w:r>
    </w:p>
    <w:p w:rsidR="006A7305" w:rsidRPr="005769E5" w:rsidRDefault="006A7305" w:rsidP="002C653F">
      <w:pPr>
        <w:widowControl/>
        <w:shd w:val="clear" w:color="auto" w:fill="FFFFFF"/>
        <w:ind w:firstLineChars="1500" w:firstLine="4800"/>
        <w:rPr>
          <w:rFonts w:ascii="Times New Roman" w:eastAsia="仿宋_GB2312" w:hAnsi="Times New Roman"/>
          <w:color w:val="000000"/>
          <w:kern w:val="0"/>
          <w:sz w:val="32"/>
          <w:szCs w:val="32"/>
        </w:rPr>
      </w:pPr>
      <w:r w:rsidRPr="005769E5">
        <w:rPr>
          <w:rFonts w:ascii="Times New Roman" w:eastAsia="仿宋_GB2312" w:hAnsi="Times New Roman"/>
          <w:sz w:val="32"/>
          <w:szCs w:val="32"/>
        </w:rPr>
        <w:t>2020</w:t>
      </w:r>
      <w:r w:rsidRPr="005769E5">
        <w:rPr>
          <w:rFonts w:ascii="Times New Roman" w:eastAsia="仿宋_GB2312" w:hAnsi="Times New Roman" w:hint="eastAsia"/>
          <w:sz w:val="32"/>
          <w:szCs w:val="32"/>
        </w:rPr>
        <w:t>年</w:t>
      </w:r>
      <w:r w:rsidRPr="005769E5">
        <w:rPr>
          <w:rFonts w:ascii="Times New Roman" w:eastAsia="仿宋_GB2312" w:hAnsi="Times New Roman"/>
          <w:sz w:val="32"/>
          <w:szCs w:val="32"/>
        </w:rPr>
        <w:t>1</w:t>
      </w:r>
      <w:r w:rsidRPr="005769E5">
        <w:rPr>
          <w:rFonts w:ascii="Times New Roman" w:eastAsia="仿宋_GB2312" w:hAnsi="Times New Roman" w:hint="eastAsia"/>
          <w:sz w:val="32"/>
          <w:szCs w:val="32"/>
        </w:rPr>
        <w:t>月</w:t>
      </w:r>
      <w:r>
        <w:rPr>
          <w:rFonts w:ascii="Times New Roman" w:eastAsia="仿宋_GB2312" w:hAnsi="Times New Roman"/>
          <w:sz w:val="32"/>
          <w:szCs w:val="32"/>
        </w:rPr>
        <w:t>15</w:t>
      </w:r>
      <w:r w:rsidRPr="005769E5">
        <w:rPr>
          <w:rFonts w:ascii="Times New Roman" w:eastAsia="仿宋_GB2312" w:hAnsi="Times New Roman" w:hint="eastAsia"/>
          <w:sz w:val="32"/>
          <w:szCs w:val="32"/>
        </w:rPr>
        <w:t>日</w:t>
      </w:r>
    </w:p>
    <w:sectPr w:rsidR="006A7305" w:rsidRPr="005769E5" w:rsidSect="00FD1A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</w:compat>
  <w:rsids>
    <w:rsidRoot w:val="0042114A"/>
    <w:rsid w:val="000173A7"/>
    <w:rsid w:val="00037B05"/>
    <w:rsid w:val="0004444B"/>
    <w:rsid w:val="0015001A"/>
    <w:rsid w:val="001B7F99"/>
    <w:rsid w:val="001C0FB0"/>
    <w:rsid w:val="00205CBC"/>
    <w:rsid w:val="002152EB"/>
    <w:rsid w:val="002C653F"/>
    <w:rsid w:val="00313A93"/>
    <w:rsid w:val="00384FCE"/>
    <w:rsid w:val="003C53B1"/>
    <w:rsid w:val="0042114A"/>
    <w:rsid w:val="004551F8"/>
    <w:rsid w:val="004A04AF"/>
    <w:rsid w:val="00536527"/>
    <w:rsid w:val="00546F02"/>
    <w:rsid w:val="005769E5"/>
    <w:rsid w:val="00586E6A"/>
    <w:rsid w:val="005A1123"/>
    <w:rsid w:val="00664868"/>
    <w:rsid w:val="006A7305"/>
    <w:rsid w:val="006F6F6B"/>
    <w:rsid w:val="00753CE7"/>
    <w:rsid w:val="007A36BE"/>
    <w:rsid w:val="00823897"/>
    <w:rsid w:val="008367F8"/>
    <w:rsid w:val="00851933"/>
    <w:rsid w:val="008B2458"/>
    <w:rsid w:val="008F471F"/>
    <w:rsid w:val="00905597"/>
    <w:rsid w:val="009057E0"/>
    <w:rsid w:val="00A26555"/>
    <w:rsid w:val="00A61709"/>
    <w:rsid w:val="00A952D6"/>
    <w:rsid w:val="00B14EF4"/>
    <w:rsid w:val="00B40022"/>
    <w:rsid w:val="00C16412"/>
    <w:rsid w:val="00C31008"/>
    <w:rsid w:val="00C61FEA"/>
    <w:rsid w:val="00D00E05"/>
    <w:rsid w:val="00E54B61"/>
    <w:rsid w:val="00E75467"/>
    <w:rsid w:val="00EC1162"/>
    <w:rsid w:val="00ED6ED7"/>
    <w:rsid w:val="00FC013E"/>
    <w:rsid w:val="00FD1A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A1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2114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rsid w:val="00313A93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122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122019">
          <w:marLeft w:val="0"/>
          <w:marRight w:val="0"/>
          <w:marTop w:val="0"/>
          <w:marBottom w:val="0"/>
          <w:divBdr>
            <w:top w:val="single" w:sz="6" w:space="8" w:color="B5B5B5"/>
            <w:left w:val="single" w:sz="6" w:space="0" w:color="B5B5B5"/>
            <w:bottom w:val="single" w:sz="6" w:space="8" w:color="B5B5B5"/>
            <w:right w:val="single" w:sz="6" w:space="0" w:color="B5B5B5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2019-12-16T08:51:00Z</cp:lastPrinted>
  <dcterms:created xsi:type="dcterms:W3CDTF">2020-03-11T10:35:00Z</dcterms:created>
  <dcterms:modified xsi:type="dcterms:W3CDTF">2020-03-11T10:35:00Z</dcterms:modified>
</cp:coreProperties>
</file>