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Calibri" w:hAnsi="Calibri" w:cs="Calibri"/>
          <w:i w:val="0"/>
          <w:iCs w:val="0"/>
          <w:caps w:val="0"/>
          <w:color w:val="auto"/>
          <w:spacing w:val="0"/>
          <w:sz w:val="44"/>
          <w:szCs w:val="44"/>
        </w:rPr>
      </w:pP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尧都区</w:t>
      </w:r>
      <w:r>
        <w:rPr>
          <w:rFonts w:ascii="方正小标宋简体" w:hAnsi="方正小标宋简体" w:eastAsia="方正小标宋简体" w:cs="方正小标宋简体"/>
          <w:i w:val="0"/>
          <w:iCs w:val="0"/>
          <w:caps w:val="0"/>
          <w:color w:val="auto"/>
          <w:spacing w:val="0"/>
          <w:sz w:val="44"/>
          <w:szCs w:val="44"/>
          <w:shd w:val="clear" w:fill="FFFFFF"/>
        </w:rPr>
        <w:t>行政审批服务管理局</w:t>
      </w:r>
    </w:p>
    <w:p>
      <w:pPr>
        <w:pStyle w:val="3"/>
        <w:widowControl/>
        <w:shd w:val="clear" w:color="auto" w:fill="FFFFFF"/>
        <w:spacing w:beforeAutospacing="0" w:afterAutospacing="0" w:line="580" w:lineRule="exact"/>
        <w:jc w:val="center"/>
        <w:rPr>
          <w:rFonts w:ascii="方正小标宋简体" w:hAnsi="方正小标宋简体" w:eastAsia="方正小标宋简体" w:cs="方正小标宋简体"/>
          <w:b w:val="0"/>
          <w:bCs w:val="0"/>
          <w:sz w:val="44"/>
          <w:szCs w:val="44"/>
          <w:shd w:val="clear" w:color="auto" w:fill="FFFFFF"/>
        </w:rPr>
      </w:pPr>
      <w:r>
        <w:rPr>
          <w:rFonts w:ascii="方正小标宋简体" w:hAnsi="方正小标宋简体" w:eastAsia="方正小标宋简体" w:cs="方正小标宋简体"/>
          <w:b w:val="0"/>
          <w:bCs w:val="0"/>
          <w:sz w:val="44"/>
          <w:szCs w:val="44"/>
          <w:shd w:val="clear" w:color="auto" w:fill="FFFFFF"/>
        </w:rPr>
        <w:t>2021年政府信息公开工作年度报告</w:t>
      </w:r>
    </w:p>
    <w:p>
      <w:pPr>
        <w:rPr>
          <w:rFonts w:hint="default"/>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516"/>
        <w:jc w:val="both"/>
        <w:textAlignment w:val="auto"/>
        <w:rPr>
          <w:rFonts w:ascii="黑体" w:hAnsi="宋体" w:eastAsia="黑体" w:cs="黑体"/>
          <w:i w:val="0"/>
          <w:iCs w:val="0"/>
          <w:caps w:val="0"/>
          <w:color w:val="auto"/>
          <w:spacing w:val="0"/>
          <w:sz w:val="25"/>
          <w:szCs w:val="25"/>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both"/>
        <w:rPr>
          <w:rFonts w:ascii="Calibri" w:hAnsi="Calibri" w:cs="Calibri"/>
          <w:i w:val="0"/>
          <w:iCs w:val="0"/>
          <w:caps w:val="0"/>
          <w:color w:val="333333"/>
          <w:spacing w:val="0"/>
          <w:sz w:val="32"/>
          <w:szCs w:val="32"/>
        </w:rPr>
      </w:pPr>
      <w:r>
        <w:rPr>
          <w:rFonts w:ascii="黑体" w:hAnsi="宋体" w:eastAsia="黑体" w:cs="黑体"/>
          <w:i w:val="0"/>
          <w:iCs w:val="0"/>
          <w:caps w:val="0"/>
          <w:color w:val="333333"/>
          <w:spacing w:val="0"/>
          <w:sz w:val="32"/>
          <w:szCs w:val="32"/>
          <w:shd w:val="clear" w:fill="FFFFFF"/>
        </w:rPr>
        <w:t>一、总体情况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Calibri" w:hAnsi="Calibri" w:cs="Calibri"/>
          <w:i w:val="0"/>
          <w:iCs w:val="0"/>
          <w:caps w:val="0"/>
          <w:color w:val="auto"/>
          <w:spacing w:val="0"/>
          <w:sz w:val="32"/>
          <w:szCs w:val="32"/>
        </w:rPr>
      </w:pPr>
      <w:r>
        <w:rPr>
          <w:rFonts w:ascii="仿宋_GB2312" w:hAnsi="Calibri" w:eastAsia="仿宋_GB2312" w:cs="仿宋_GB2312"/>
          <w:i w:val="0"/>
          <w:iCs w:val="0"/>
          <w:caps w:val="0"/>
          <w:color w:val="auto"/>
          <w:spacing w:val="0"/>
          <w:sz w:val="32"/>
          <w:szCs w:val="32"/>
          <w:shd w:val="clear" w:fill="FFFFFF"/>
        </w:rPr>
        <w:t>202</w:t>
      </w:r>
      <w:r>
        <w:rPr>
          <w:rFonts w:hint="eastAsia" w:ascii="仿宋_GB2312" w:hAnsi="Calibri" w:eastAsia="仿宋_GB2312" w:cs="仿宋_GB2312"/>
          <w:i w:val="0"/>
          <w:iCs w:val="0"/>
          <w:caps w:val="0"/>
          <w:color w:val="auto"/>
          <w:spacing w:val="0"/>
          <w:sz w:val="32"/>
          <w:szCs w:val="32"/>
          <w:shd w:val="clear" w:fill="FFFFFF"/>
        </w:rPr>
        <w:t>1年，</w:t>
      </w:r>
      <w:r>
        <w:rPr>
          <w:rFonts w:hint="eastAsia" w:ascii="仿宋_GB2312" w:hAnsi="Calibri" w:eastAsia="仿宋_GB2312" w:cs="仿宋_GB2312"/>
          <w:i w:val="0"/>
          <w:iCs w:val="0"/>
          <w:caps w:val="0"/>
          <w:color w:val="auto"/>
          <w:spacing w:val="0"/>
          <w:sz w:val="32"/>
          <w:szCs w:val="32"/>
          <w:shd w:val="clear" w:fill="FFFFFF"/>
          <w:lang w:eastAsia="zh-CN"/>
        </w:rPr>
        <w:t>尧都区</w:t>
      </w:r>
      <w:r>
        <w:rPr>
          <w:rFonts w:hint="eastAsia" w:ascii="仿宋_GB2312" w:hAnsi="Calibri" w:eastAsia="仿宋_GB2312" w:cs="仿宋_GB2312"/>
          <w:i w:val="0"/>
          <w:iCs w:val="0"/>
          <w:caps w:val="0"/>
          <w:color w:val="auto"/>
          <w:spacing w:val="0"/>
          <w:sz w:val="32"/>
          <w:szCs w:val="32"/>
          <w:shd w:val="clear" w:fill="FFFFFF"/>
        </w:rPr>
        <w:t>行政审批服务管理局坚持以习近平新时代中国特色社会主义思想为指导，全面贯彻党的十九大和十九届</w:t>
      </w:r>
      <w:r>
        <w:rPr>
          <w:rFonts w:hint="eastAsia" w:ascii="仿宋_GB2312" w:hAnsi="Calibri" w:eastAsia="仿宋_GB2312" w:cs="仿宋_GB2312"/>
          <w:i w:val="0"/>
          <w:iCs w:val="0"/>
          <w:caps w:val="0"/>
          <w:color w:val="auto"/>
          <w:spacing w:val="0"/>
          <w:sz w:val="32"/>
          <w:szCs w:val="32"/>
          <w:shd w:val="clear" w:fill="FFFFFF"/>
          <w:lang w:eastAsia="zh-CN"/>
        </w:rPr>
        <w:t>二中、三中、四中、五中、六中</w:t>
      </w:r>
      <w:r>
        <w:rPr>
          <w:rFonts w:hint="eastAsia" w:ascii="仿宋_GB2312" w:hAnsi="Calibri" w:eastAsia="仿宋_GB2312" w:cs="仿宋_GB2312"/>
          <w:i w:val="0"/>
          <w:iCs w:val="0"/>
          <w:caps w:val="0"/>
          <w:color w:val="auto"/>
          <w:spacing w:val="0"/>
          <w:sz w:val="32"/>
          <w:szCs w:val="32"/>
          <w:shd w:val="clear" w:fill="FFFFFF"/>
        </w:rPr>
        <w:t>全会精神，深入落实《条例》要求，紧紧围绕</w:t>
      </w:r>
      <w:r>
        <w:rPr>
          <w:rFonts w:hint="eastAsia" w:ascii="仿宋_GB2312" w:hAnsi="Calibri" w:eastAsia="仿宋_GB2312" w:cs="仿宋_GB2312"/>
          <w:i w:val="0"/>
          <w:iCs w:val="0"/>
          <w:caps w:val="0"/>
          <w:color w:val="auto"/>
          <w:spacing w:val="0"/>
          <w:sz w:val="32"/>
          <w:szCs w:val="32"/>
          <w:shd w:val="clear" w:fill="FFFFFF"/>
          <w:lang w:eastAsia="zh-CN"/>
        </w:rPr>
        <w:t>区</w:t>
      </w:r>
      <w:r>
        <w:rPr>
          <w:rFonts w:hint="eastAsia" w:ascii="仿宋_GB2312" w:hAnsi="Calibri" w:eastAsia="仿宋_GB2312" w:cs="仿宋_GB2312"/>
          <w:i w:val="0"/>
          <w:iCs w:val="0"/>
          <w:caps w:val="0"/>
          <w:color w:val="auto"/>
          <w:spacing w:val="0"/>
          <w:sz w:val="32"/>
          <w:szCs w:val="32"/>
          <w:shd w:val="clear" w:fill="FFFFFF"/>
        </w:rPr>
        <w:t>委、</w:t>
      </w:r>
      <w:r>
        <w:rPr>
          <w:rFonts w:hint="eastAsia" w:ascii="仿宋_GB2312" w:hAnsi="Calibri" w:eastAsia="仿宋_GB2312" w:cs="仿宋_GB2312"/>
          <w:i w:val="0"/>
          <w:iCs w:val="0"/>
          <w:caps w:val="0"/>
          <w:color w:val="auto"/>
          <w:spacing w:val="0"/>
          <w:sz w:val="32"/>
          <w:szCs w:val="32"/>
          <w:shd w:val="clear" w:fill="FFFFFF"/>
          <w:lang w:eastAsia="zh-CN"/>
        </w:rPr>
        <w:t>区</w:t>
      </w:r>
      <w:r>
        <w:rPr>
          <w:rFonts w:hint="eastAsia" w:ascii="仿宋_GB2312" w:hAnsi="Calibri" w:eastAsia="仿宋_GB2312" w:cs="仿宋_GB2312"/>
          <w:i w:val="0"/>
          <w:iCs w:val="0"/>
          <w:caps w:val="0"/>
          <w:color w:val="auto"/>
          <w:spacing w:val="0"/>
          <w:sz w:val="32"/>
          <w:szCs w:val="32"/>
          <w:shd w:val="clear" w:fill="FFFFFF"/>
        </w:rPr>
        <w:t>政府</w:t>
      </w:r>
      <w:r>
        <w:rPr>
          <w:rFonts w:hint="eastAsia" w:ascii="仿宋_GB2312" w:hAnsi="Calibri" w:eastAsia="仿宋_GB2312" w:cs="仿宋_GB2312"/>
          <w:i w:val="0"/>
          <w:iCs w:val="0"/>
          <w:caps w:val="0"/>
          <w:color w:val="auto"/>
          <w:spacing w:val="0"/>
          <w:sz w:val="32"/>
          <w:szCs w:val="32"/>
          <w:shd w:val="clear" w:fill="FFFFFF"/>
          <w:lang w:eastAsia="zh-CN"/>
        </w:rPr>
        <w:t>的</w:t>
      </w:r>
      <w:r>
        <w:rPr>
          <w:rFonts w:hint="eastAsia" w:ascii="仿宋_GB2312" w:hAnsi="Calibri" w:eastAsia="仿宋_GB2312" w:cs="仿宋_GB2312"/>
          <w:i w:val="0"/>
          <w:iCs w:val="0"/>
          <w:caps w:val="0"/>
          <w:color w:val="auto"/>
          <w:spacing w:val="0"/>
          <w:sz w:val="32"/>
          <w:szCs w:val="32"/>
          <w:shd w:val="clear" w:fill="FFFFFF"/>
        </w:rPr>
        <w:t>重点工作，持续深入推进政务公开工作，加大工作透明度，提高政策知晓度，不断增</w:t>
      </w:r>
      <w:r>
        <w:rPr>
          <w:rFonts w:hint="eastAsia" w:ascii="仿宋_GB2312" w:hAnsi="Calibri" w:eastAsia="仿宋_GB2312" w:cs="仿宋_GB2312"/>
          <w:i w:val="0"/>
          <w:iCs w:val="0"/>
          <w:caps w:val="0"/>
          <w:color w:val="auto"/>
          <w:spacing w:val="0"/>
          <w:sz w:val="32"/>
          <w:szCs w:val="32"/>
          <w:shd w:val="clear" w:fill="FFFFFF"/>
          <w:lang w:eastAsia="zh-CN"/>
        </w:rPr>
        <w:t>企业</w:t>
      </w:r>
      <w:r>
        <w:rPr>
          <w:rFonts w:hint="eastAsia" w:ascii="仿宋_GB2312" w:hAnsi="Calibri" w:eastAsia="仿宋_GB2312" w:cs="仿宋_GB2312"/>
          <w:i w:val="0"/>
          <w:iCs w:val="0"/>
          <w:caps w:val="0"/>
          <w:color w:val="auto"/>
          <w:spacing w:val="0"/>
          <w:sz w:val="32"/>
          <w:szCs w:val="32"/>
          <w:shd w:val="clear" w:fill="FFFFFF"/>
        </w:rPr>
        <w:t>和人民群众获得感和满意度。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(一)主动公开方面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2" w:firstLineChars="200"/>
        <w:jc w:val="both"/>
        <w:rPr>
          <w:rFonts w:hint="default" w:ascii="仿宋_GB2312" w:hAnsi="Calibri" w:eastAsia="仿宋_GB2312" w:cs="仿宋_GB2312"/>
          <w:i w:val="0"/>
          <w:iCs w:val="0"/>
          <w:caps w:val="0"/>
          <w:color w:val="auto"/>
          <w:spacing w:val="0"/>
          <w:sz w:val="32"/>
          <w:szCs w:val="32"/>
          <w:shd w:val="clear" w:fill="FFFFFF"/>
        </w:rPr>
      </w:pPr>
      <w:r>
        <w:rPr>
          <w:rFonts w:hint="default" w:ascii="仿宋_GB2312" w:hAnsi="Calibri" w:eastAsia="仿宋_GB2312" w:cs="仿宋_GB2312"/>
          <w:b/>
          <w:bCs/>
          <w:i w:val="0"/>
          <w:iCs w:val="0"/>
          <w:caps w:val="0"/>
          <w:color w:val="auto"/>
          <w:spacing w:val="0"/>
          <w:sz w:val="32"/>
          <w:szCs w:val="32"/>
          <w:shd w:val="clear" w:fill="FFFFFF"/>
        </w:rPr>
        <w:t>1.</w:t>
      </w:r>
      <w:r>
        <w:rPr>
          <w:rFonts w:hint="eastAsia" w:ascii="仿宋_GB2312" w:hAnsi="Calibri" w:eastAsia="仿宋_GB2312" w:cs="仿宋_GB2312"/>
          <w:b/>
          <w:bCs/>
          <w:i w:val="0"/>
          <w:iCs w:val="0"/>
          <w:caps w:val="0"/>
          <w:color w:val="auto"/>
          <w:spacing w:val="0"/>
          <w:sz w:val="32"/>
          <w:szCs w:val="32"/>
          <w:shd w:val="clear" w:fill="FFFFFF"/>
        </w:rPr>
        <w:t>信息公开流程规范化。</w:t>
      </w:r>
      <w:r>
        <w:rPr>
          <w:rFonts w:hint="eastAsia" w:ascii="仿宋_GB2312" w:hAnsi="Calibri" w:eastAsia="仿宋_GB2312" w:cs="仿宋_GB2312"/>
          <w:i w:val="0"/>
          <w:iCs w:val="0"/>
          <w:caps w:val="0"/>
          <w:color w:val="auto"/>
          <w:spacing w:val="0"/>
          <w:sz w:val="32"/>
          <w:szCs w:val="32"/>
          <w:shd w:val="clear" w:fill="FFFFFF"/>
        </w:rPr>
        <w:t>工作人员严格遵循《条例》中的要求操作，对信息公开的流程及各项公开内容</w:t>
      </w:r>
      <w:r>
        <w:rPr>
          <w:rFonts w:hint="eastAsia" w:ascii="仿宋_GB2312" w:hAnsi="Calibri" w:eastAsia="仿宋_GB2312" w:cs="仿宋_GB2312"/>
          <w:i w:val="0"/>
          <w:iCs w:val="0"/>
          <w:caps w:val="0"/>
          <w:color w:val="auto"/>
          <w:spacing w:val="0"/>
          <w:sz w:val="32"/>
          <w:szCs w:val="32"/>
          <w:shd w:val="clear" w:fill="FFFFFF"/>
          <w:lang w:eastAsia="zh-CN"/>
        </w:rPr>
        <w:t>做到</w:t>
      </w:r>
      <w:r>
        <w:rPr>
          <w:rFonts w:hint="eastAsia" w:ascii="仿宋_GB2312" w:hAnsi="Calibri" w:eastAsia="仿宋_GB2312" w:cs="仿宋_GB2312"/>
          <w:i w:val="0"/>
          <w:iCs w:val="0"/>
          <w:caps w:val="0"/>
          <w:color w:val="auto"/>
          <w:spacing w:val="0"/>
          <w:sz w:val="32"/>
          <w:szCs w:val="32"/>
          <w:shd w:val="clear" w:fill="FFFFFF"/>
        </w:rPr>
        <w:t>及时有效，规范透明。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2" w:firstLineChars="200"/>
        <w:jc w:val="both"/>
        <w:rPr>
          <w:rFonts w:hint="eastAsia" w:ascii="仿宋_GB2312" w:hAnsi="Calibri" w:eastAsia="仿宋_GB2312" w:cs="仿宋_GB2312"/>
          <w:i w:val="0"/>
          <w:iCs w:val="0"/>
          <w:caps w:val="0"/>
          <w:color w:val="auto"/>
          <w:spacing w:val="0"/>
          <w:sz w:val="32"/>
          <w:szCs w:val="32"/>
          <w:shd w:val="clear" w:fill="FFFFFF"/>
          <w:lang w:eastAsia="zh-CN"/>
        </w:rPr>
      </w:pPr>
      <w:r>
        <w:rPr>
          <w:rFonts w:hint="default" w:ascii="仿宋_GB2312" w:hAnsi="Calibri" w:eastAsia="仿宋_GB2312" w:cs="仿宋_GB2312"/>
          <w:b/>
          <w:bCs/>
          <w:i w:val="0"/>
          <w:iCs w:val="0"/>
          <w:caps w:val="0"/>
          <w:color w:val="auto"/>
          <w:spacing w:val="0"/>
          <w:sz w:val="32"/>
          <w:szCs w:val="32"/>
          <w:shd w:val="clear" w:fill="FFFFFF"/>
        </w:rPr>
        <w:t>2.</w:t>
      </w:r>
      <w:r>
        <w:rPr>
          <w:rFonts w:hint="eastAsia" w:ascii="仿宋_GB2312" w:hAnsi="Calibri" w:eastAsia="仿宋_GB2312" w:cs="仿宋_GB2312"/>
          <w:b/>
          <w:bCs/>
          <w:i w:val="0"/>
          <w:iCs w:val="0"/>
          <w:caps w:val="0"/>
          <w:color w:val="auto"/>
          <w:spacing w:val="0"/>
          <w:sz w:val="32"/>
          <w:szCs w:val="32"/>
          <w:shd w:val="clear" w:fill="FFFFFF"/>
        </w:rPr>
        <w:t>加强政务信息公开。</w:t>
      </w:r>
      <w:r>
        <w:rPr>
          <w:rFonts w:hint="eastAsia" w:ascii="仿宋_GB2312" w:hAnsi="Calibri" w:eastAsia="仿宋_GB2312" w:cs="仿宋_GB2312"/>
          <w:i w:val="0"/>
          <w:iCs w:val="0"/>
          <w:caps w:val="0"/>
          <w:color w:val="auto"/>
          <w:spacing w:val="0"/>
          <w:sz w:val="32"/>
          <w:szCs w:val="32"/>
          <w:shd w:val="clear" w:fill="FFFFFF"/>
        </w:rPr>
        <w:t>我局通过在</w:t>
      </w:r>
      <w:r>
        <w:rPr>
          <w:rFonts w:hint="eastAsia" w:ascii="仿宋_GB2312" w:hAnsi="Calibri" w:eastAsia="仿宋_GB2312" w:cs="仿宋_GB2312"/>
          <w:i w:val="0"/>
          <w:iCs w:val="0"/>
          <w:caps w:val="0"/>
          <w:color w:val="auto"/>
          <w:spacing w:val="0"/>
          <w:sz w:val="32"/>
          <w:szCs w:val="32"/>
          <w:shd w:val="clear" w:fill="FFFFFF"/>
          <w:lang w:eastAsia="zh-CN"/>
        </w:rPr>
        <w:t>尧都区人民</w:t>
      </w:r>
      <w:r>
        <w:rPr>
          <w:rFonts w:hint="eastAsia" w:ascii="仿宋_GB2312" w:hAnsi="Calibri" w:eastAsia="仿宋_GB2312" w:cs="仿宋_GB2312"/>
          <w:i w:val="0"/>
          <w:iCs w:val="0"/>
          <w:caps w:val="0"/>
          <w:color w:val="auto"/>
          <w:spacing w:val="0"/>
          <w:sz w:val="32"/>
          <w:szCs w:val="32"/>
          <w:shd w:val="clear" w:fill="FFFFFF"/>
        </w:rPr>
        <w:t>政府</w:t>
      </w:r>
      <w:r>
        <w:rPr>
          <w:rFonts w:hint="eastAsia" w:ascii="仿宋_GB2312" w:hAnsi="Calibri" w:eastAsia="仿宋_GB2312" w:cs="仿宋_GB2312"/>
          <w:i w:val="0"/>
          <w:iCs w:val="0"/>
          <w:caps w:val="0"/>
          <w:color w:val="auto"/>
          <w:spacing w:val="0"/>
          <w:sz w:val="32"/>
          <w:szCs w:val="32"/>
          <w:shd w:val="clear" w:fill="FFFFFF"/>
          <w:lang w:eastAsia="zh-CN"/>
        </w:rPr>
        <w:t>官</w:t>
      </w:r>
      <w:r>
        <w:rPr>
          <w:rFonts w:hint="eastAsia" w:ascii="仿宋_GB2312" w:hAnsi="Calibri" w:eastAsia="仿宋_GB2312" w:cs="仿宋_GB2312"/>
          <w:i w:val="0"/>
          <w:iCs w:val="0"/>
          <w:caps w:val="0"/>
          <w:color w:val="auto"/>
          <w:spacing w:val="0"/>
          <w:sz w:val="32"/>
          <w:szCs w:val="32"/>
          <w:shd w:val="clear" w:fill="FFFFFF"/>
        </w:rPr>
        <w:t>网上</w:t>
      </w:r>
      <w:r>
        <w:rPr>
          <w:rFonts w:hint="eastAsia" w:ascii="仿宋_GB2312" w:hAnsi="Calibri" w:eastAsia="仿宋_GB2312" w:cs="仿宋_GB2312"/>
          <w:i w:val="0"/>
          <w:iCs w:val="0"/>
          <w:caps w:val="0"/>
          <w:color w:val="auto"/>
          <w:spacing w:val="0"/>
          <w:sz w:val="32"/>
          <w:szCs w:val="32"/>
          <w:shd w:val="clear" w:fill="FFFFFF"/>
          <w:lang w:eastAsia="zh-CN"/>
        </w:rPr>
        <w:t>，</w:t>
      </w:r>
      <w:r>
        <w:rPr>
          <w:rFonts w:hint="eastAsia" w:ascii="仿宋_GB2312" w:hAnsi="Calibri" w:eastAsia="仿宋_GB2312" w:cs="仿宋_GB2312"/>
          <w:i w:val="0"/>
          <w:iCs w:val="0"/>
          <w:caps w:val="0"/>
          <w:color w:val="auto"/>
          <w:spacing w:val="0"/>
          <w:sz w:val="32"/>
          <w:szCs w:val="32"/>
          <w:shd w:val="clear" w:fill="FFFFFF"/>
        </w:rPr>
        <w:t>公开政务公开事项标准目录</w:t>
      </w:r>
      <w:r>
        <w:rPr>
          <w:rFonts w:hint="eastAsia" w:ascii="仿宋_GB2312" w:hAnsi="Calibri" w:eastAsia="仿宋_GB2312" w:cs="仿宋_GB2312"/>
          <w:i w:val="0"/>
          <w:iCs w:val="0"/>
          <w:caps w:val="0"/>
          <w:color w:val="auto"/>
          <w:spacing w:val="0"/>
          <w:sz w:val="32"/>
          <w:szCs w:val="32"/>
          <w:shd w:val="clear" w:fill="FFFFFF"/>
          <w:lang w:eastAsia="zh-CN"/>
        </w:rPr>
        <w:t>和尧都区</w:t>
      </w:r>
      <w:r>
        <w:rPr>
          <w:rFonts w:hint="eastAsia" w:ascii="仿宋_GB2312" w:hAnsi="Calibri" w:eastAsia="仿宋_GB2312" w:cs="仿宋_GB2312"/>
          <w:i w:val="0"/>
          <w:iCs w:val="0"/>
          <w:caps w:val="0"/>
          <w:color w:val="auto"/>
          <w:spacing w:val="0"/>
          <w:sz w:val="32"/>
          <w:szCs w:val="32"/>
          <w:shd w:val="clear" w:fill="FFFFFF"/>
        </w:rPr>
        <w:t>公共资源交易领域基层政务公开标准目录，确保公开透明，及时接受公众的监督。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（二）依申请公开方面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按照政府信息依申请公开工作要求，</w:t>
      </w:r>
      <w:r>
        <w:rPr>
          <w:rFonts w:hint="eastAsia" w:ascii="仿宋_GB2312" w:hAnsi="Calibri" w:eastAsia="仿宋_GB2312" w:cs="仿宋_GB2312"/>
          <w:i w:val="0"/>
          <w:iCs w:val="0"/>
          <w:caps w:val="0"/>
          <w:color w:val="auto"/>
          <w:spacing w:val="0"/>
          <w:sz w:val="32"/>
          <w:szCs w:val="32"/>
          <w:shd w:val="clear" w:fill="FFFFFF"/>
          <w:lang w:eastAsia="zh-CN"/>
        </w:rPr>
        <w:t>尧都区</w:t>
      </w:r>
      <w:r>
        <w:rPr>
          <w:rFonts w:hint="eastAsia" w:ascii="仿宋_GB2312" w:hAnsi="Calibri" w:eastAsia="仿宋_GB2312" w:cs="仿宋_GB2312"/>
          <w:i w:val="0"/>
          <w:iCs w:val="0"/>
          <w:caps w:val="0"/>
          <w:color w:val="auto"/>
          <w:spacing w:val="0"/>
          <w:sz w:val="32"/>
          <w:szCs w:val="32"/>
          <w:shd w:val="clear" w:fill="FFFFFF"/>
        </w:rPr>
        <w:t>审批服务管理局积极畅通依申请公开各类受理渠道，严格依申请公开程序，在</w:t>
      </w:r>
      <w:r>
        <w:rPr>
          <w:rFonts w:hint="eastAsia" w:ascii="仿宋_GB2312" w:hAnsi="Calibri" w:eastAsia="仿宋_GB2312" w:cs="仿宋_GB2312"/>
          <w:i w:val="0"/>
          <w:iCs w:val="0"/>
          <w:caps w:val="0"/>
          <w:color w:val="auto"/>
          <w:spacing w:val="0"/>
          <w:sz w:val="32"/>
          <w:szCs w:val="32"/>
          <w:shd w:val="clear" w:fill="FFFFFF"/>
          <w:lang w:eastAsia="zh-CN"/>
        </w:rPr>
        <w:t>尧都区政府官网</w:t>
      </w:r>
      <w:r>
        <w:rPr>
          <w:rFonts w:hint="eastAsia" w:ascii="仿宋_GB2312" w:hAnsi="Calibri" w:eastAsia="仿宋_GB2312" w:cs="仿宋_GB2312"/>
          <w:i w:val="0"/>
          <w:iCs w:val="0"/>
          <w:caps w:val="0"/>
          <w:color w:val="auto"/>
          <w:spacing w:val="0"/>
          <w:sz w:val="32"/>
          <w:szCs w:val="32"/>
          <w:shd w:val="clear" w:fill="FFFFFF"/>
        </w:rPr>
        <w:t>公布了</w:t>
      </w:r>
      <w:r>
        <w:rPr>
          <w:rFonts w:hint="eastAsia" w:ascii="仿宋_GB2312" w:hAnsi="Calibri" w:eastAsia="仿宋_GB2312" w:cs="仿宋_GB2312"/>
          <w:i w:val="0"/>
          <w:iCs w:val="0"/>
          <w:caps w:val="0"/>
          <w:color w:val="auto"/>
          <w:spacing w:val="0"/>
          <w:sz w:val="32"/>
          <w:szCs w:val="32"/>
          <w:shd w:val="clear" w:fill="FFFFFF"/>
          <w:lang w:eastAsia="zh-CN"/>
        </w:rPr>
        <w:t>区行政审批服务管理局</w:t>
      </w:r>
      <w:r>
        <w:rPr>
          <w:rFonts w:hint="eastAsia" w:ascii="仿宋_GB2312" w:hAnsi="Calibri" w:eastAsia="仿宋_GB2312" w:cs="仿宋_GB2312"/>
          <w:i w:val="0"/>
          <w:iCs w:val="0"/>
          <w:caps w:val="0"/>
          <w:color w:val="auto"/>
          <w:spacing w:val="0"/>
          <w:sz w:val="32"/>
          <w:szCs w:val="32"/>
          <w:shd w:val="clear" w:fill="FFFFFF"/>
        </w:rPr>
        <w:t>政务公开工作机构，明确了受理机构、办公地址、办公时间及联系电话，确保信息公开答复规范化、标准化、精细化。加强政府信息管理，加大主动公开力度，从制度上、源头上推动信息主动公开，方便公众直接查询获取。2021年度，</w:t>
      </w:r>
      <w:r>
        <w:rPr>
          <w:rFonts w:hint="eastAsia" w:ascii="仿宋_GB2312" w:hAnsi="Calibri" w:eastAsia="仿宋_GB2312" w:cs="仿宋_GB2312"/>
          <w:i w:val="0"/>
          <w:iCs w:val="0"/>
          <w:caps w:val="0"/>
          <w:color w:val="auto"/>
          <w:spacing w:val="0"/>
          <w:sz w:val="32"/>
          <w:szCs w:val="32"/>
          <w:shd w:val="clear" w:fill="FFFFFF"/>
          <w:lang w:eastAsia="zh-CN"/>
        </w:rPr>
        <w:t>我局</w:t>
      </w:r>
      <w:r>
        <w:rPr>
          <w:rFonts w:hint="eastAsia" w:ascii="仿宋_GB2312" w:hAnsi="Calibri" w:eastAsia="仿宋_GB2312" w:cs="仿宋_GB2312"/>
          <w:i w:val="0"/>
          <w:iCs w:val="0"/>
          <w:caps w:val="0"/>
          <w:color w:val="auto"/>
          <w:spacing w:val="0"/>
          <w:sz w:val="32"/>
          <w:szCs w:val="32"/>
          <w:shd w:val="clear" w:fill="FFFFFF"/>
        </w:rPr>
        <w:t>未收到依申请公开</w:t>
      </w:r>
      <w:r>
        <w:rPr>
          <w:rFonts w:hint="eastAsia" w:ascii="仿宋_GB2312" w:hAnsi="Calibri" w:eastAsia="仿宋_GB2312" w:cs="仿宋_GB2312"/>
          <w:i w:val="0"/>
          <w:iCs w:val="0"/>
          <w:caps w:val="0"/>
          <w:color w:val="auto"/>
          <w:spacing w:val="0"/>
          <w:sz w:val="32"/>
          <w:szCs w:val="32"/>
          <w:shd w:val="clear" w:fill="FFFFFF"/>
          <w:lang w:eastAsia="zh-CN"/>
        </w:rPr>
        <w:t>政府信息</w:t>
      </w:r>
      <w:r>
        <w:rPr>
          <w:rFonts w:hint="eastAsia" w:ascii="仿宋_GB2312" w:hAnsi="Calibri" w:eastAsia="仿宋_GB2312" w:cs="仿宋_GB2312"/>
          <w:i w:val="0"/>
          <w:iCs w:val="0"/>
          <w:caps w:val="0"/>
          <w:color w:val="auto"/>
          <w:spacing w:val="0"/>
          <w:sz w:val="32"/>
          <w:szCs w:val="32"/>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（三）政府信息管理方面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加强和规范政府信息管理，科学分类、逐项细化政务公开事项，主要包括以省、市</w:t>
      </w:r>
      <w:r>
        <w:rPr>
          <w:rFonts w:hint="eastAsia" w:ascii="仿宋_GB2312" w:hAnsi="Calibri" w:eastAsia="仿宋_GB2312" w:cs="仿宋_GB2312"/>
          <w:i w:val="0"/>
          <w:iCs w:val="0"/>
          <w:caps w:val="0"/>
          <w:color w:val="auto"/>
          <w:spacing w:val="0"/>
          <w:sz w:val="32"/>
          <w:szCs w:val="32"/>
          <w:shd w:val="clear" w:fill="FFFFFF"/>
          <w:lang w:eastAsia="zh-CN"/>
        </w:rPr>
        <w:t>、区</w:t>
      </w:r>
      <w:r>
        <w:rPr>
          <w:rFonts w:hint="eastAsia" w:ascii="仿宋_GB2312" w:hAnsi="Calibri" w:eastAsia="仿宋_GB2312" w:cs="仿宋_GB2312"/>
          <w:i w:val="0"/>
          <w:iCs w:val="0"/>
          <w:caps w:val="0"/>
          <w:color w:val="auto"/>
          <w:spacing w:val="0"/>
          <w:sz w:val="32"/>
          <w:szCs w:val="32"/>
          <w:shd w:val="clear" w:fill="FFFFFF"/>
        </w:rPr>
        <w:t>名义印发的规范性文件、重要工作部署及实施情况、政务动态类信息等。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eastAsia="zh-CN"/>
        </w:rPr>
        <w:t>四</w:t>
      </w:r>
      <w:r>
        <w:rPr>
          <w:rFonts w:hint="eastAsia" w:ascii="楷体_GB2312" w:hAnsi="楷体_GB2312" w:eastAsia="楷体_GB2312" w:cs="楷体_GB2312"/>
          <w:i w:val="0"/>
          <w:iCs w:val="0"/>
          <w:caps w:val="0"/>
          <w:color w:val="auto"/>
          <w:spacing w:val="0"/>
          <w:sz w:val="32"/>
          <w:szCs w:val="32"/>
          <w:shd w:val="clear" w:fill="FFFFFF"/>
        </w:rPr>
        <w:t>）加强政策解读，提升公众获得感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加强解读权威性，按照“应解读尽解读”的原则，推进政策文件精准解读。全年通过</w:t>
      </w:r>
      <w:r>
        <w:rPr>
          <w:rFonts w:hint="eastAsia" w:ascii="仿宋_GB2312" w:hAnsi="Calibri" w:eastAsia="仿宋_GB2312" w:cs="仿宋_GB2312"/>
          <w:i w:val="0"/>
          <w:iCs w:val="0"/>
          <w:caps w:val="0"/>
          <w:color w:val="auto"/>
          <w:spacing w:val="0"/>
          <w:sz w:val="32"/>
          <w:szCs w:val="32"/>
          <w:shd w:val="clear" w:fill="FFFFFF"/>
          <w:lang w:eastAsia="zh-CN"/>
        </w:rPr>
        <w:t>区政府官网</w:t>
      </w:r>
      <w:r>
        <w:rPr>
          <w:rFonts w:hint="eastAsia" w:ascii="仿宋_GB2312" w:hAnsi="Calibri" w:eastAsia="仿宋_GB2312" w:cs="仿宋_GB2312"/>
          <w:i w:val="0"/>
          <w:iCs w:val="0"/>
          <w:caps w:val="0"/>
          <w:color w:val="auto"/>
          <w:spacing w:val="0"/>
          <w:sz w:val="32"/>
          <w:szCs w:val="32"/>
          <w:shd w:val="clear" w:fill="FFFFFF"/>
        </w:rPr>
        <w:t>解读政策文件</w:t>
      </w:r>
      <w:r>
        <w:rPr>
          <w:rFonts w:hint="eastAsia" w:ascii="仿宋_GB2312" w:hAnsi="Calibri" w:eastAsia="仿宋_GB2312" w:cs="仿宋_GB2312"/>
          <w:i w:val="0"/>
          <w:iCs w:val="0"/>
          <w:caps w:val="0"/>
          <w:color w:val="auto"/>
          <w:spacing w:val="0"/>
          <w:sz w:val="32"/>
          <w:szCs w:val="32"/>
          <w:shd w:val="clear" w:fill="FFFFFF"/>
          <w:lang w:val="en-US" w:eastAsia="zh-CN"/>
        </w:rPr>
        <w:t>9</w:t>
      </w:r>
      <w:r>
        <w:rPr>
          <w:rFonts w:hint="eastAsia" w:ascii="仿宋_GB2312" w:hAnsi="Calibri" w:eastAsia="仿宋_GB2312" w:cs="仿宋_GB2312"/>
          <w:i w:val="0"/>
          <w:iCs w:val="0"/>
          <w:caps w:val="0"/>
          <w:color w:val="auto"/>
          <w:spacing w:val="0"/>
          <w:sz w:val="32"/>
          <w:szCs w:val="32"/>
          <w:shd w:val="clear" w:fill="FFFFFF"/>
        </w:rPr>
        <w:t>件。主动回应群众关切，不断优化网上政民互动渠道，综合用好依申请公开</w:t>
      </w:r>
      <w:r>
        <w:rPr>
          <w:rFonts w:hint="eastAsia" w:ascii="仿宋_GB2312" w:hAnsi="Calibri" w:eastAsia="仿宋_GB2312" w:cs="仿宋_GB2312"/>
          <w:i w:val="0"/>
          <w:iCs w:val="0"/>
          <w:caps w:val="0"/>
          <w:color w:val="auto"/>
          <w:spacing w:val="0"/>
          <w:sz w:val="32"/>
          <w:szCs w:val="32"/>
          <w:shd w:val="clear" w:fill="FFFFFF"/>
          <w:lang w:eastAsia="zh-CN"/>
        </w:rPr>
        <w:t>、政务大厅</w:t>
      </w:r>
      <w:r>
        <w:rPr>
          <w:rFonts w:hint="eastAsia" w:ascii="仿宋_GB2312" w:hAnsi="Calibri" w:eastAsia="仿宋_GB2312" w:cs="仿宋_GB2312"/>
          <w:i w:val="0"/>
          <w:iCs w:val="0"/>
          <w:caps w:val="0"/>
          <w:color w:val="auto"/>
          <w:spacing w:val="0"/>
          <w:sz w:val="32"/>
          <w:szCs w:val="32"/>
          <w:shd w:val="clear" w:fill="FFFFFF"/>
        </w:rPr>
        <w:t>咨询热线等渠道，着力提高对社会关切热点的发现、搜集和反馈能力，做到了</w:t>
      </w:r>
      <w:r>
        <w:rPr>
          <w:rFonts w:hint="eastAsia" w:ascii="仿宋_GB2312" w:hAnsi="Calibri" w:eastAsia="仿宋_GB2312" w:cs="仿宋_GB2312"/>
          <w:i w:val="0"/>
          <w:iCs w:val="0"/>
          <w:caps w:val="0"/>
          <w:color w:val="auto"/>
          <w:spacing w:val="0"/>
          <w:sz w:val="32"/>
          <w:szCs w:val="32"/>
          <w:shd w:val="clear" w:fill="FFFFFF"/>
          <w:lang w:eastAsia="zh-CN"/>
        </w:rPr>
        <w:t>营商环境</w:t>
      </w:r>
      <w:r>
        <w:rPr>
          <w:rFonts w:hint="eastAsia" w:ascii="仿宋_GB2312" w:hAnsi="Calibri" w:eastAsia="仿宋_GB2312" w:cs="仿宋_GB2312"/>
          <w:i w:val="0"/>
          <w:iCs w:val="0"/>
          <w:caps w:val="0"/>
          <w:color w:val="auto"/>
          <w:spacing w:val="0"/>
          <w:sz w:val="32"/>
          <w:szCs w:val="32"/>
          <w:shd w:val="clear" w:fill="FFFFFF"/>
        </w:rPr>
        <w:t>政策有问必答。</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楷体_GB2312" w:hAnsi="楷体_GB2312" w:eastAsia="楷体_GB2312" w:cs="楷体_GB2312"/>
          <w:i w:val="0"/>
          <w:iCs w:val="0"/>
          <w:caps w:val="0"/>
          <w:color w:val="auto"/>
          <w:spacing w:val="0"/>
          <w:sz w:val="32"/>
          <w:szCs w:val="32"/>
          <w:shd w:val="clear" w:fill="FFFFFF"/>
        </w:rPr>
      </w:pPr>
      <w:r>
        <w:rPr>
          <w:rFonts w:hint="eastAsia" w:ascii="楷体_GB2312" w:hAnsi="楷体_GB2312" w:eastAsia="楷体_GB2312" w:cs="楷体_GB2312"/>
          <w:i w:val="0"/>
          <w:iCs w:val="0"/>
          <w:caps w:val="0"/>
          <w:color w:val="auto"/>
          <w:spacing w:val="0"/>
          <w:sz w:val="32"/>
          <w:szCs w:val="32"/>
          <w:shd w:val="clear" w:fill="FFFFFF"/>
        </w:rPr>
        <w:t>（</w:t>
      </w:r>
      <w:r>
        <w:rPr>
          <w:rFonts w:hint="eastAsia" w:ascii="楷体_GB2312" w:hAnsi="楷体_GB2312" w:eastAsia="楷体_GB2312" w:cs="楷体_GB2312"/>
          <w:i w:val="0"/>
          <w:iCs w:val="0"/>
          <w:caps w:val="0"/>
          <w:color w:val="auto"/>
          <w:spacing w:val="0"/>
          <w:sz w:val="32"/>
          <w:szCs w:val="32"/>
          <w:shd w:val="clear" w:fill="FFFFFF"/>
          <w:lang w:eastAsia="zh-CN"/>
        </w:rPr>
        <w:t>五</w:t>
      </w:r>
      <w:r>
        <w:rPr>
          <w:rFonts w:hint="eastAsia" w:ascii="楷体_GB2312" w:hAnsi="楷体_GB2312" w:eastAsia="楷体_GB2312" w:cs="楷体_GB2312"/>
          <w:i w:val="0"/>
          <w:iCs w:val="0"/>
          <w:caps w:val="0"/>
          <w:color w:val="auto"/>
          <w:spacing w:val="0"/>
          <w:sz w:val="32"/>
          <w:szCs w:val="32"/>
          <w:shd w:val="clear" w:fill="FFFFFF"/>
        </w:rPr>
        <w:t>）监督保障方面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我局</w:t>
      </w:r>
      <w:r>
        <w:rPr>
          <w:rFonts w:hint="eastAsia" w:ascii="仿宋_GB2312" w:hAnsi="Calibri" w:eastAsia="仿宋_GB2312" w:cs="仿宋_GB2312"/>
          <w:i w:val="0"/>
          <w:iCs w:val="0"/>
          <w:caps w:val="0"/>
          <w:color w:val="auto"/>
          <w:spacing w:val="0"/>
          <w:sz w:val="32"/>
          <w:szCs w:val="32"/>
          <w:shd w:val="clear" w:fill="FFFFFF"/>
          <w:lang w:eastAsia="zh-CN"/>
        </w:rPr>
        <w:t>及时主动公开政府信息，</w:t>
      </w:r>
      <w:r>
        <w:rPr>
          <w:rFonts w:hint="eastAsia" w:ascii="仿宋_GB2312" w:hAnsi="Calibri" w:eastAsia="仿宋_GB2312" w:cs="仿宋_GB2312"/>
          <w:i w:val="0"/>
          <w:iCs w:val="0"/>
          <w:caps w:val="0"/>
          <w:color w:val="auto"/>
          <w:spacing w:val="0"/>
          <w:sz w:val="32"/>
          <w:szCs w:val="32"/>
          <w:shd w:val="clear" w:fill="FFFFFF"/>
        </w:rPr>
        <w:t>凡拟上网公开的信息均由主要领导进行信息审核，相关人员再进行信息发布，确保信息及时、准确地发布到网站上。落实内部管理和责任考核追究制度，把政府信息公开作为政府整体工作的重要组成部分，促进信息公开工作常态化、规范化。2021年，未发生因不履行政务公开义务而发生的责任追究情况。</w:t>
      </w:r>
    </w:p>
    <w:p>
      <w:pPr>
        <w:widowControl/>
        <w:shd w:val="clear" w:color="auto" w:fill="FFFFFF"/>
        <w:ind w:firstLine="480"/>
        <w:rPr>
          <w:rFonts w:ascii="黑体" w:hAnsi="黑体" w:eastAsia="黑体" w:cs="黑体"/>
          <w:color w:val="auto"/>
          <w:kern w:val="0"/>
          <w:sz w:val="32"/>
          <w:szCs w:val="32"/>
        </w:rPr>
      </w:pPr>
      <w:r>
        <w:rPr>
          <w:rFonts w:hint="eastAsia" w:ascii="黑体" w:hAnsi="黑体" w:eastAsia="黑体" w:cs="黑体"/>
          <w:bCs/>
          <w:color w:val="auto"/>
          <w:kern w:val="0"/>
          <w:sz w:val="32"/>
          <w:szCs w:val="32"/>
        </w:rPr>
        <w:t>二、主动公开政府信息情况</w:t>
      </w:r>
    </w:p>
    <w:tbl>
      <w:tblPr>
        <w:tblStyle w:val="7"/>
        <w:tblW w:w="8140" w:type="dxa"/>
        <w:jc w:val="center"/>
        <w:tblLayout w:type="fixed"/>
        <w:tblCellMar>
          <w:top w:w="0" w:type="dxa"/>
          <w:left w:w="108" w:type="dxa"/>
          <w:bottom w:w="0" w:type="dxa"/>
          <w:right w:w="108" w:type="dxa"/>
        </w:tblCellMar>
      </w:tblPr>
      <w:tblGrid>
        <w:gridCol w:w="2739"/>
        <w:gridCol w:w="1937"/>
        <w:gridCol w:w="1688"/>
        <w:gridCol w:w="1776"/>
      </w:tblGrid>
      <w:tr>
        <w:tblPrEx>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第二十条第（一）项</w:t>
            </w:r>
          </w:p>
        </w:tc>
      </w:tr>
      <w:tr>
        <w:tblPrEx>
          <w:tblCellMar>
            <w:top w:w="0" w:type="dxa"/>
            <w:left w:w="108" w:type="dxa"/>
            <w:bottom w:w="0" w:type="dxa"/>
            <w:right w:w="108" w:type="dxa"/>
          </w:tblCellMar>
        </w:tblPrEx>
        <w:trPr>
          <w:trHeight w:val="1046"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信息内容</w:t>
            </w:r>
          </w:p>
        </w:tc>
        <w:tc>
          <w:tcPr>
            <w:tcW w:w="1937" w:type="dxa"/>
            <w:tcBorders>
              <w:top w:val="single" w:color="auto" w:sz="4" w:space="0"/>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000000"/>
                <w:kern w:val="0"/>
                <w:sz w:val="24"/>
              </w:rPr>
              <w:t>本年</w:t>
            </w:r>
            <w:r>
              <w:rPr>
                <w:rFonts w:hint="eastAsia" w:ascii="仿宋_GB2312" w:hAnsi="仿宋_GB2312" w:eastAsia="仿宋_GB2312" w:cs="仿宋_GB2312"/>
                <w:color w:val="000000"/>
                <w:kern w:val="0"/>
                <w:sz w:val="24"/>
                <w:lang w:eastAsia="zh-CN"/>
              </w:rPr>
              <w:t>制发件数</w:t>
            </w:r>
          </w:p>
        </w:tc>
        <w:tc>
          <w:tcPr>
            <w:tcW w:w="1688"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000000"/>
                <w:kern w:val="0"/>
                <w:sz w:val="24"/>
              </w:rPr>
              <w:t>本年</w:t>
            </w:r>
            <w:r>
              <w:rPr>
                <w:rFonts w:hint="eastAsia" w:ascii="仿宋_GB2312" w:hAnsi="仿宋_GB2312" w:eastAsia="仿宋_GB2312" w:cs="仿宋_GB2312"/>
                <w:color w:val="000000"/>
                <w:kern w:val="0"/>
                <w:sz w:val="24"/>
                <w:lang w:eastAsia="zh-CN"/>
              </w:rPr>
              <w:t>废止件数</w:t>
            </w:r>
          </w:p>
        </w:tc>
        <w:tc>
          <w:tcPr>
            <w:tcW w:w="1776" w:type="dxa"/>
            <w:tcBorders>
              <w:top w:val="nil"/>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eastAsia="zh-CN"/>
              </w:rPr>
            </w:pPr>
            <w:r>
              <w:rPr>
                <w:rFonts w:hint="eastAsia" w:ascii="仿宋_GB2312" w:hAnsi="仿宋_GB2312" w:eastAsia="仿宋_GB2312" w:cs="仿宋_GB2312"/>
                <w:color w:val="000000"/>
                <w:kern w:val="0"/>
                <w:sz w:val="24"/>
                <w:lang w:eastAsia="zh-CN"/>
              </w:rPr>
              <w:t>现行有效件数</w:t>
            </w:r>
          </w:p>
        </w:tc>
      </w:tr>
      <w:tr>
        <w:tblPrEx>
          <w:tblCellMar>
            <w:top w:w="0" w:type="dxa"/>
            <w:left w:w="108" w:type="dxa"/>
            <w:bottom w:w="0" w:type="dxa"/>
            <w:right w:w="108" w:type="dxa"/>
          </w:tblCellMar>
        </w:tblPrEx>
        <w:trPr>
          <w:trHeight w:val="523"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规章</w:t>
            </w:r>
          </w:p>
        </w:tc>
        <w:tc>
          <w:tcPr>
            <w:tcW w:w="1937" w:type="dxa"/>
            <w:tcBorders>
              <w:top w:val="single" w:color="auto" w:sz="4" w:space="0"/>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1688"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1776" w:type="dxa"/>
            <w:tcBorders>
              <w:top w:val="nil"/>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r>
      <w:tr>
        <w:tblPrEx>
          <w:tblCellMar>
            <w:top w:w="0" w:type="dxa"/>
            <w:left w:w="108" w:type="dxa"/>
            <w:bottom w:w="0" w:type="dxa"/>
            <w:right w:w="108" w:type="dxa"/>
          </w:tblCellMar>
        </w:tblPrEx>
        <w:trPr>
          <w:trHeight w:val="471"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lang w:eastAsia="zh-CN"/>
              </w:rPr>
              <w:t>行政</w:t>
            </w:r>
            <w:r>
              <w:rPr>
                <w:rFonts w:hint="eastAsia" w:ascii="仿宋_GB2312" w:hAnsi="仿宋_GB2312" w:eastAsia="仿宋_GB2312" w:cs="仿宋_GB2312"/>
                <w:color w:val="000000"/>
                <w:kern w:val="0"/>
                <w:sz w:val="24"/>
              </w:rPr>
              <w:t>规范性文件</w:t>
            </w:r>
          </w:p>
        </w:tc>
        <w:tc>
          <w:tcPr>
            <w:tcW w:w="1937" w:type="dxa"/>
            <w:tcBorders>
              <w:top w:val="nil"/>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1688" w:type="dxa"/>
            <w:tcBorders>
              <w:top w:val="nil"/>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1776" w:type="dxa"/>
            <w:tcBorders>
              <w:top w:val="nil"/>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r>
      <w:tr>
        <w:tblPrEx>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第二十条第（五）项</w:t>
            </w:r>
          </w:p>
        </w:tc>
      </w:tr>
      <w:tr>
        <w:tblPrEx>
          <w:tblCellMar>
            <w:top w:w="0" w:type="dxa"/>
            <w:left w:w="108" w:type="dxa"/>
            <w:bottom w:w="0" w:type="dxa"/>
            <w:right w:w="108" w:type="dxa"/>
          </w:tblCellMar>
        </w:tblPrEx>
        <w:trPr>
          <w:trHeight w:val="90"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信息内容</w:t>
            </w:r>
          </w:p>
        </w:tc>
        <w:tc>
          <w:tcPr>
            <w:tcW w:w="5401"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lang w:eastAsia="zh-CN"/>
              </w:rPr>
              <w:t>本年</w:t>
            </w:r>
            <w:r>
              <w:rPr>
                <w:rFonts w:hint="eastAsia" w:ascii="仿宋_GB2312" w:hAnsi="仿宋_GB2312" w:eastAsia="仿宋_GB2312" w:cs="仿宋_GB2312"/>
                <w:color w:val="000000"/>
                <w:kern w:val="0"/>
                <w:sz w:val="24"/>
              </w:rPr>
              <w:t>处理决定数量</w:t>
            </w:r>
          </w:p>
        </w:tc>
      </w:tr>
      <w:tr>
        <w:tblPrEx>
          <w:tblCellMar>
            <w:top w:w="0" w:type="dxa"/>
            <w:left w:w="108" w:type="dxa"/>
            <w:bottom w:w="0" w:type="dxa"/>
            <w:right w:w="108" w:type="dxa"/>
          </w:tblCellMar>
        </w:tblPrEx>
        <w:trPr>
          <w:trHeight w:val="528"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行政许可</w:t>
            </w:r>
          </w:p>
        </w:tc>
        <w:tc>
          <w:tcPr>
            <w:tcW w:w="5401" w:type="dxa"/>
            <w:gridSpan w:val="3"/>
            <w:tcBorders>
              <w:top w:val="nil"/>
              <w:left w:val="nil"/>
              <w:bottom w:val="single" w:color="auto" w:sz="4" w:space="0"/>
              <w:right w:val="single" w:color="auto" w:sz="4" w:space="0"/>
            </w:tcBorders>
            <w:noWrap/>
            <w:vAlign w:val="center"/>
          </w:tcPr>
          <w:p>
            <w:pPr>
              <w:widowControl/>
              <w:spacing w:before="100" w:beforeAutospacing="1" w:after="180" w:line="480" w:lineRule="auto"/>
              <w:jc w:val="center"/>
              <w:rPr>
                <w:rFonts w:hint="default"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237</w:t>
            </w:r>
          </w:p>
        </w:tc>
      </w:tr>
      <w:tr>
        <w:tblPrEx>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第二十条第（六）项</w:t>
            </w:r>
          </w:p>
        </w:tc>
      </w:tr>
      <w:tr>
        <w:tblPrEx>
          <w:tblCellMar>
            <w:top w:w="0" w:type="dxa"/>
            <w:left w:w="108" w:type="dxa"/>
            <w:bottom w:w="0" w:type="dxa"/>
            <w:right w:w="108" w:type="dxa"/>
          </w:tblCellMar>
        </w:tblPrEx>
        <w:trPr>
          <w:trHeight w:val="634"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信息内容</w:t>
            </w:r>
          </w:p>
        </w:tc>
        <w:tc>
          <w:tcPr>
            <w:tcW w:w="5401"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lang w:eastAsia="zh-CN"/>
              </w:rPr>
              <w:t>本年</w:t>
            </w:r>
            <w:r>
              <w:rPr>
                <w:rFonts w:hint="eastAsia" w:ascii="仿宋_GB2312" w:hAnsi="仿宋_GB2312" w:eastAsia="仿宋_GB2312" w:cs="仿宋_GB2312"/>
                <w:color w:val="000000"/>
                <w:kern w:val="0"/>
                <w:sz w:val="24"/>
              </w:rPr>
              <w:t>处理决定数量</w:t>
            </w:r>
          </w:p>
        </w:tc>
      </w:tr>
      <w:tr>
        <w:tblPrEx>
          <w:tblCellMar>
            <w:top w:w="0" w:type="dxa"/>
            <w:left w:w="108" w:type="dxa"/>
            <w:bottom w:w="0" w:type="dxa"/>
            <w:right w:w="108" w:type="dxa"/>
          </w:tblCellMar>
        </w:tblPrEx>
        <w:trPr>
          <w:trHeight w:val="430"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行政处罚</w:t>
            </w:r>
          </w:p>
        </w:tc>
        <w:tc>
          <w:tcPr>
            <w:tcW w:w="5401" w:type="dxa"/>
            <w:gridSpan w:val="3"/>
            <w:tcBorders>
              <w:top w:val="single" w:color="auto" w:sz="4" w:space="0"/>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tblPrEx>
          <w:tblCellMar>
            <w:top w:w="0" w:type="dxa"/>
            <w:left w:w="108" w:type="dxa"/>
            <w:bottom w:w="0" w:type="dxa"/>
            <w:right w:w="108" w:type="dxa"/>
          </w:tblCellMar>
        </w:tblPrEx>
        <w:trPr>
          <w:trHeight w:val="409"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行政强制</w:t>
            </w:r>
          </w:p>
        </w:tc>
        <w:tc>
          <w:tcPr>
            <w:tcW w:w="5401" w:type="dxa"/>
            <w:gridSpan w:val="3"/>
            <w:tcBorders>
              <w:top w:val="nil"/>
              <w:left w:val="nil"/>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tblPrEx>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第二十条第（八）项</w:t>
            </w:r>
          </w:p>
        </w:tc>
      </w:tr>
      <w:tr>
        <w:tblPrEx>
          <w:tblCellMar>
            <w:top w:w="0" w:type="dxa"/>
            <w:left w:w="108" w:type="dxa"/>
            <w:bottom w:w="0" w:type="dxa"/>
            <w:right w:w="108" w:type="dxa"/>
          </w:tblCellMar>
        </w:tblPrEx>
        <w:trPr>
          <w:trHeight w:val="270"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信息内容</w:t>
            </w:r>
          </w:p>
        </w:tc>
        <w:tc>
          <w:tcPr>
            <w:tcW w:w="5401" w:type="dxa"/>
            <w:gridSpan w:val="3"/>
            <w:tcBorders>
              <w:top w:val="nil"/>
              <w:left w:val="nil"/>
              <w:bottom w:val="single" w:color="auto" w:sz="4" w:space="0"/>
              <w:right w:val="single" w:color="000000"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lang w:eastAsia="zh-CN"/>
              </w:rPr>
              <w:t>本年收费金额（单位：万元）</w:t>
            </w:r>
          </w:p>
        </w:tc>
      </w:tr>
      <w:tr>
        <w:tblPrEx>
          <w:tblCellMar>
            <w:top w:w="0" w:type="dxa"/>
            <w:left w:w="108" w:type="dxa"/>
            <w:bottom w:w="0" w:type="dxa"/>
            <w:right w:w="108" w:type="dxa"/>
          </w:tblCellMar>
        </w:tblPrEx>
        <w:trPr>
          <w:trHeight w:val="551" w:hRule="atLeast"/>
          <w:jc w:val="center"/>
        </w:trPr>
        <w:tc>
          <w:tcPr>
            <w:tcW w:w="2739" w:type="dxa"/>
            <w:tcBorders>
              <w:top w:val="nil"/>
              <w:left w:val="single" w:color="auto" w:sz="4" w:space="0"/>
              <w:bottom w:val="single" w:color="auto" w:sz="4" w:space="0"/>
              <w:right w:val="single" w:color="auto" w:sz="4" w:space="0"/>
            </w:tcBorders>
            <w:noWrap/>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行政事业性收费</w:t>
            </w:r>
          </w:p>
        </w:tc>
        <w:tc>
          <w:tcPr>
            <w:tcW w:w="5401" w:type="dxa"/>
            <w:gridSpan w:val="3"/>
            <w:tcBorders>
              <w:top w:val="nil"/>
              <w:left w:val="nil"/>
              <w:bottom w:val="single" w:color="auto" w:sz="4" w:space="0"/>
              <w:right w:val="single" w:color="000000" w:sz="4" w:space="0"/>
            </w:tcBorders>
            <w:noWrap/>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bl>
    <w:p>
      <w:pPr>
        <w:widowControl/>
        <w:shd w:val="clear" w:color="auto" w:fill="FFFFFF"/>
        <w:spacing w:after="240"/>
        <w:ind w:firstLine="480"/>
        <w:rPr>
          <w:rFonts w:ascii="黑体" w:hAnsi="黑体" w:eastAsia="黑体" w:cs="黑体"/>
          <w:color w:val="auto"/>
          <w:kern w:val="0"/>
          <w:sz w:val="32"/>
          <w:szCs w:val="32"/>
        </w:rPr>
      </w:pPr>
      <w:r>
        <w:rPr>
          <w:rFonts w:hint="eastAsia" w:ascii="黑体" w:hAnsi="黑体" w:eastAsia="黑体" w:cs="黑体"/>
          <w:bCs/>
          <w:color w:val="auto"/>
          <w:kern w:val="0"/>
          <w:sz w:val="32"/>
          <w:szCs w:val="32"/>
        </w:rPr>
        <w:t>三、收到和处理政府信息公开申请情况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130"/>
        <w:gridCol w:w="825"/>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（本列数据的勾稽关系为：第一项加第二项之和，等于第三项加第四项之和）</w:t>
            </w:r>
          </w:p>
        </w:tc>
        <w:tc>
          <w:tcPr>
            <w:tcW w:w="5592" w:type="dxa"/>
            <w:gridSpan w:val="7"/>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25" w:type="dxa"/>
            <w:vMerge w:val="restart"/>
            <w:tcBorders>
              <w:top w:val="nil"/>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2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商业企业</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科研机构</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社会公益组织</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法律服务机构</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4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一、本年新收政府信息公开申请数量</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二、上年结转政府信息公开申请数量</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三、本年度办理结果</w:t>
            </w:r>
          </w:p>
        </w:tc>
        <w:tc>
          <w:tcPr>
            <w:tcW w:w="2985"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（一）予以公开</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985" w:type="dxa"/>
            <w:gridSpan w:val="2"/>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（二）部分公开（区分处理的，只计这一情形，不计其他情形）</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restart"/>
            <w:tcBorders>
              <w:top w:val="nil"/>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（三）不予公开</w:t>
            </w: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1.属于国家秘密</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2.其他法律行政法规禁止公开</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3.危及“三安全一稳定”</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4.保护第三方合法权益</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5.属于三类内部事务信息</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6.属于四类过程性信息</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7.属于行政执法案卷</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8.属于行政查询事项</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restart"/>
            <w:tcBorders>
              <w:top w:val="nil"/>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（四）无法提供</w:t>
            </w: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1.本机关不掌握相关政府信息</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2.没有现成信息需要另行制作</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3.补正后申请内容仍不明确</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restart"/>
            <w:tcBorders>
              <w:top w:val="nil"/>
              <w:left w:val="nil"/>
              <w:bottom w:val="single" w:color="auto" w:sz="4" w:space="0"/>
              <w:right w:val="single" w:color="auto" w:sz="4" w:space="0"/>
            </w:tcBorders>
            <w:noWrap w:val="0"/>
            <w:vAlign w:val="center"/>
          </w:tcPr>
          <w:p>
            <w:pPr>
              <w:widowControl/>
              <w:spacing w:before="100" w:beforeAutospacing="1" w:after="180" w:line="480" w:lineRule="auto"/>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（五）不予处理</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1.信访举报投诉类申请</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2.重复申请</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3.要求提供公开出版物</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4.无正当理由大量反复申请</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5.要求行政机关确认或重新出具已获取信息</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restart"/>
            <w:tcBorders>
              <w:top w:val="single" w:color="auto" w:sz="4" w:space="0"/>
              <w:left w:val="nil"/>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（六）其他处理</w:t>
            </w: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sz w:val="24"/>
                <w:lang w:eastAsia="zh-CN"/>
              </w:rPr>
            </w:pPr>
            <w:r>
              <w:rPr>
                <w:rFonts w:hint="eastAsia" w:ascii="仿宋_GB2312" w:hAnsi="仿宋_GB2312" w:eastAsia="仿宋_GB2312" w:cs="仿宋_GB2312"/>
                <w:color w:val="333333"/>
                <w:sz w:val="24"/>
                <w:lang w:val="en-US" w:eastAsia="zh-CN"/>
              </w:rPr>
              <w:t>1.</w:t>
            </w:r>
            <w:r>
              <w:rPr>
                <w:rFonts w:hint="eastAsia" w:ascii="仿宋_GB2312" w:hAnsi="仿宋_GB2312" w:eastAsia="仿宋_GB2312" w:cs="仿宋_GB2312"/>
                <w:color w:val="333333"/>
                <w:sz w:val="24"/>
                <w:lang w:eastAsia="zh-CN"/>
              </w:rPr>
              <w:t>申请人无正当理由逾期不补正、行政机关不再处理其政府信息公开申请</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left w:val="nil"/>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sz w:val="24"/>
                <w:lang w:eastAsia="zh-CN"/>
              </w:rPr>
            </w:pPr>
            <w:r>
              <w:rPr>
                <w:rFonts w:hint="eastAsia" w:ascii="仿宋_GB2312" w:hAnsi="仿宋_GB2312" w:eastAsia="仿宋_GB2312" w:cs="仿宋_GB2312"/>
                <w:color w:val="333333"/>
                <w:sz w:val="24"/>
                <w:lang w:val="en-US" w:eastAsia="zh-CN"/>
              </w:rPr>
              <w:t>2.</w:t>
            </w:r>
            <w:r>
              <w:rPr>
                <w:rFonts w:hint="eastAsia" w:ascii="仿宋_GB2312" w:hAnsi="仿宋_GB2312" w:eastAsia="仿宋_GB2312" w:cs="仿宋_GB2312"/>
                <w:color w:val="333333"/>
                <w:sz w:val="24"/>
                <w:lang w:eastAsia="zh-CN"/>
              </w:rPr>
              <w:t>申请人逾期未按收费通知要求缴纳费用、行政机关不再处理其政府信息公开申请</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855" w:type="dxa"/>
            <w:vMerge w:val="continue"/>
            <w:tcBorders>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sz w:val="24"/>
              </w:rPr>
            </w:pPr>
          </w:p>
        </w:tc>
        <w:tc>
          <w:tcPr>
            <w:tcW w:w="2130"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default"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3.其他</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sz w:val="24"/>
                <w:lang w:val="en-US" w:eastAsia="zh-CN"/>
              </w:rPr>
            </w:pPr>
            <w:r>
              <w:rPr>
                <w:rFonts w:hint="eastAsia" w:ascii="仿宋_GB2312" w:hAnsi="仿宋_GB2312" w:eastAsia="仿宋_GB2312" w:cs="仿宋_GB2312"/>
                <w:color w:val="333333"/>
                <w:sz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2985" w:type="dxa"/>
            <w:gridSpan w:val="2"/>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（七）总计</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default"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34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四、结转下年度继续办理</w:t>
            </w:r>
          </w:p>
        </w:tc>
        <w:tc>
          <w:tcPr>
            <w:tcW w:w="825"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widowControl/>
              <w:spacing w:line="500" w:lineRule="exact"/>
              <w:jc w:val="center"/>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widowControl/>
              <w:spacing w:line="500" w:lineRule="exact"/>
              <w:jc w:val="left"/>
              <w:rPr>
                <w:rFonts w:hint="eastAsia" w:ascii="仿宋_GB2312" w:hAnsi="仿宋_GB2312" w:eastAsia="仿宋_GB2312" w:cs="仿宋_GB2312"/>
                <w:color w:val="333333"/>
                <w:kern w:val="0"/>
                <w:sz w:val="24"/>
                <w:lang w:val="en-US" w:eastAsia="zh-CN"/>
              </w:rPr>
            </w:pPr>
            <w:r>
              <w:rPr>
                <w:rFonts w:hint="eastAsia" w:ascii="仿宋_GB2312" w:hAnsi="仿宋_GB2312" w:eastAsia="仿宋_GB2312" w:cs="仿宋_GB2312"/>
                <w:color w:val="333333"/>
                <w:kern w:val="0"/>
                <w:sz w:val="24"/>
                <w:lang w:val="en-US" w:eastAsia="zh-CN"/>
              </w:rPr>
              <w:t>0</w:t>
            </w:r>
          </w:p>
        </w:tc>
      </w:tr>
    </w:tbl>
    <w:p>
      <w:pPr>
        <w:widowControl/>
        <w:shd w:val="clear" w:color="auto" w:fill="FFFFFF"/>
        <w:ind w:firstLine="480"/>
        <w:rPr>
          <w:rFonts w:ascii="黑体" w:hAnsi="黑体" w:eastAsia="黑体" w:cs="黑体"/>
          <w:color w:val="auto"/>
          <w:kern w:val="0"/>
          <w:sz w:val="32"/>
          <w:szCs w:val="32"/>
        </w:rPr>
      </w:pPr>
      <w:r>
        <w:rPr>
          <w:rFonts w:hint="eastAsia" w:ascii="黑体" w:hAnsi="黑体" w:eastAsia="黑体" w:cs="黑体"/>
          <w:bCs/>
          <w:color w:val="auto"/>
          <w:kern w:val="0"/>
          <w:sz w:val="32"/>
          <w:szCs w:val="32"/>
        </w:rPr>
        <w:t>四、政府信息公开行政复议、行政诉讼情况</w:t>
      </w:r>
    </w:p>
    <w:tbl>
      <w:tblPr>
        <w:tblStyle w:val="7"/>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结果</w:t>
            </w:r>
            <w:bookmarkStart w:id="0" w:name="_GoBack"/>
            <w:bookmarkEnd w:id="0"/>
            <w:r>
              <w:rPr>
                <w:rFonts w:hint="eastAsia" w:ascii="仿宋_GB2312" w:hAnsi="仿宋_GB2312" w:eastAsia="仿宋_GB2312" w:cs="仿宋_GB2312"/>
                <w:color w:val="333333"/>
                <w:sz w:val="24"/>
              </w:rPr>
              <w:t>维持</w:t>
            </w:r>
          </w:p>
        </w:tc>
        <w:tc>
          <w:tcPr>
            <w:tcW w:w="604" w:type="dxa"/>
            <w:vMerge w:val="restart"/>
            <w:tcBorders>
              <w:top w:val="nil"/>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0" w:type="auto"/>
            <w:vMerge w:val="continue"/>
            <w:tcBorders>
              <w:top w:val="nil"/>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333333"/>
                <w:kern w:val="0"/>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333333"/>
                <w:kern w:val="0"/>
                <w:sz w:val="24"/>
              </w:rPr>
            </w:pPr>
          </w:p>
        </w:tc>
        <w:tc>
          <w:tcPr>
            <w:tcW w:w="0" w:type="auto"/>
            <w:vMerge w:val="continue"/>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hint="eastAsia" w:ascii="仿宋_GB2312" w:hAnsi="仿宋_GB2312" w:eastAsia="仿宋_GB2312" w:cs="仿宋_GB2312"/>
                <w:color w:val="333333"/>
                <w:kern w:val="0"/>
                <w:sz w:val="24"/>
              </w:rPr>
            </w:pPr>
          </w:p>
        </w:tc>
        <w:tc>
          <w:tcPr>
            <w:tcW w:w="550"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其他结果</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尚未审结</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总计</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结果维持</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结果纠正</w:t>
            </w:r>
          </w:p>
        </w:tc>
        <w:tc>
          <w:tcPr>
            <w:tcW w:w="60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其他结果</w:t>
            </w:r>
          </w:p>
        </w:tc>
        <w:tc>
          <w:tcPr>
            <w:tcW w:w="606"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尚未审结</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4"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658"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550"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0</w:t>
            </w:r>
          </w:p>
        </w:tc>
        <w:tc>
          <w:tcPr>
            <w:tcW w:w="605"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sz w:val="24"/>
              </w:rPr>
              <w:t>0</w:t>
            </w:r>
          </w:p>
        </w:tc>
        <w:tc>
          <w:tcPr>
            <w:tcW w:w="606" w:type="dxa"/>
            <w:tcBorders>
              <w:top w:val="single" w:color="auto" w:sz="4" w:space="0"/>
              <w:left w:val="nil"/>
              <w:bottom w:val="single" w:color="auto" w:sz="4" w:space="0"/>
              <w:right w:val="single" w:color="auto" w:sz="4" w:space="0"/>
            </w:tcBorders>
            <w:noWrap w:val="0"/>
            <w:vAlign w:val="center"/>
          </w:tcPr>
          <w:p>
            <w:pPr>
              <w:widowControl/>
              <w:spacing w:before="100" w:beforeAutospacing="1" w:after="180" w:line="480" w:lineRule="auto"/>
              <w:jc w:val="center"/>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333333"/>
                <w:kern w:val="0"/>
                <w:sz w:val="24"/>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16"/>
        <w:jc w:val="both"/>
        <w:rPr>
          <w:rFonts w:hint="eastAsia" w:ascii="黑体" w:hAnsi="黑体" w:eastAsia="黑体" w:cs="黑体"/>
          <w:i w:val="0"/>
          <w:iCs w:val="0"/>
          <w:caps w:val="0"/>
          <w:color w:val="auto"/>
          <w:spacing w:val="0"/>
          <w:sz w:val="32"/>
          <w:szCs w:val="32"/>
          <w:shd w:val="clear" w:fill="FFFFFF"/>
          <w:lang w:eastAsia="zh-CN"/>
        </w:rPr>
      </w:pPr>
      <w:r>
        <w:rPr>
          <w:rFonts w:hint="eastAsia" w:ascii="黑体" w:hAnsi="黑体" w:eastAsia="黑体" w:cs="黑体"/>
          <w:i w:val="0"/>
          <w:iCs w:val="0"/>
          <w:caps w:val="0"/>
          <w:color w:val="auto"/>
          <w:spacing w:val="0"/>
          <w:sz w:val="32"/>
          <w:szCs w:val="32"/>
          <w:shd w:val="clear" w:fill="FFFFFF"/>
          <w:lang w:eastAsia="zh-CN"/>
        </w:rPr>
        <w:t>五、</w:t>
      </w:r>
      <w:r>
        <w:rPr>
          <w:rFonts w:hint="eastAsia" w:ascii="黑体" w:hAnsi="黑体" w:eastAsia="黑体" w:cs="Times New Roman"/>
          <w:color w:val="auto"/>
          <w:kern w:val="0"/>
          <w:sz w:val="32"/>
          <w:szCs w:val="32"/>
          <w:lang w:val="en-US" w:eastAsia="zh-CN" w:bidi="ar-SA"/>
        </w:rPr>
        <w:t>存在的主要问题及改进情况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2021年，我局政府信息公开工作虽取得积极成效，但与满足社会公众新期待相比还存在一定差距。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一是政策解读形式单一。平时以文字解读为主</w:t>
      </w:r>
      <w:r>
        <w:rPr>
          <w:rFonts w:hint="eastAsia" w:ascii="仿宋_GB2312" w:hAnsi="Calibri" w:eastAsia="仿宋_GB2312" w:cs="仿宋_GB2312"/>
          <w:i w:val="0"/>
          <w:iCs w:val="0"/>
          <w:caps w:val="0"/>
          <w:color w:val="auto"/>
          <w:spacing w:val="0"/>
          <w:sz w:val="32"/>
          <w:szCs w:val="32"/>
          <w:shd w:val="clear" w:fill="FFFFFF"/>
          <w:lang w:eastAsia="zh-CN"/>
        </w:rPr>
        <w:t>，图文、</w:t>
      </w:r>
      <w:r>
        <w:rPr>
          <w:rFonts w:hint="eastAsia" w:ascii="仿宋_GB2312" w:hAnsi="Calibri" w:eastAsia="仿宋_GB2312" w:cs="仿宋_GB2312"/>
          <w:i w:val="0"/>
          <w:iCs w:val="0"/>
          <w:caps w:val="0"/>
          <w:color w:val="auto"/>
          <w:spacing w:val="0"/>
          <w:sz w:val="32"/>
          <w:szCs w:val="32"/>
          <w:shd w:val="clear" w:fill="FFFFFF"/>
        </w:rPr>
        <w:t>短视频等新颖的解读方式较少。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default"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二是</w:t>
      </w:r>
      <w:r>
        <w:rPr>
          <w:rFonts w:hint="eastAsia" w:ascii="仿宋_GB2312" w:hAnsi="Calibri" w:eastAsia="仿宋_GB2312" w:cs="仿宋_GB2312"/>
          <w:i w:val="0"/>
          <w:iCs w:val="0"/>
          <w:caps w:val="0"/>
          <w:color w:val="auto"/>
          <w:spacing w:val="0"/>
          <w:sz w:val="32"/>
          <w:szCs w:val="32"/>
          <w:shd w:val="clear" w:fill="FFFFFF"/>
          <w:lang w:eastAsia="zh-CN"/>
        </w:rPr>
        <w:t>具体从事信息公开的人员</w:t>
      </w:r>
      <w:r>
        <w:rPr>
          <w:rFonts w:hint="eastAsia" w:ascii="仿宋_GB2312" w:hAnsi="Calibri" w:eastAsia="仿宋_GB2312" w:cs="仿宋_GB2312"/>
          <w:i w:val="0"/>
          <w:iCs w:val="0"/>
          <w:caps w:val="0"/>
          <w:color w:val="auto"/>
          <w:spacing w:val="0"/>
          <w:sz w:val="32"/>
          <w:szCs w:val="32"/>
          <w:shd w:val="clear" w:fill="FFFFFF"/>
        </w:rPr>
        <w:t>业务能力有所欠缺。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firstLineChars="200"/>
        <w:jc w:val="both"/>
        <w:rPr>
          <w:rFonts w:hint="eastAsia" w:ascii="仿宋_GB2312" w:hAnsi="Calibri" w:eastAsia="仿宋_GB2312" w:cs="仿宋_GB2312"/>
          <w:i w:val="0"/>
          <w:iCs w:val="0"/>
          <w:caps w:val="0"/>
          <w:color w:val="auto"/>
          <w:spacing w:val="0"/>
          <w:sz w:val="32"/>
          <w:szCs w:val="32"/>
          <w:shd w:val="clear" w:fill="FFFFFF"/>
        </w:rPr>
      </w:pPr>
      <w:r>
        <w:rPr>
          <w:rFonts w:hint="eastAsia" w:ascii="仿宋_GB2312" w:hAnsi="Calibri" w:eastAsia="仿宋_GB2312" w:cs="仿宋_GB2312"/>
          <w:i w:val="0"/>
          <w:iCs w:val="0"/>
          <w:caps w:val="0"/>
          <w:color w:val="auto"/>
          <w:spacing w:val="0"/>
          <w:sz w:val="32"/>
          <w:szCs w:val="32"/>
          <w:shd w:val="clear" w:fill="FFFFFF"/>
        </w:rPr>
        <w:t>下一步，我局将以实现标准化、规范化、常态化公开为目标，以企业群众需求为出发点和落脚点</w:t>
      </w:r>
      <w:r>
        <w:rPr>
          <w:rFonts w:hint="eastAsia" w:ascii="仿宋_GB2312" w:hAnsi="Calibri" w:eastAsia="仿宋_GB2312" w:cs="仿宋_GB2312"/>
          <w:i w:val="0"/>
          <w:iCs w:val="0"/>
          <w:caps w:val="0"/>
          <w:color w:val="auto"/>
          <w:spacing w:val="0"/>
          <w:sz w:val="32"/>
          <w:szCs w:val="32"/>
          <w:shd w:val="clear" w:fill="FFFFFF"/>
          <w:lang w:eastAsia="zh-CN"/>
        </w:rPr>
        <w:t>，</w:t>
      </w:r>
      <w:r>
        <w:rPr>
          <w:rFonts w:hint="eastAsia" w:ascii="仿宋_GB2312" w:hAnsi="Calibri" w:eastAsia="仿宋_GB2312" w:cs="仿宋_GB2312"/>
          <w:i w:val="0"/>
          <w:iCs w:val="0"/>
          <w:caps w:val="0"/>
          <w:color w:val="auto"/>
          <w:spacing w:val="0"/>
          <w:sz w:val="32"/>
          <w:szCs w:val="32"/>
          <w:shd w:val="clear" w:fill="FFFFFF"/>
        </w:rPr>
        <w:t>进一步扩大公开范围，细化公开内容，健全公开保障机制，以公开促落实、促规范、促服务，为全方位推动</w:t>
      </w:r>
      <w:r>
        <w:rPr>
          <w:rFonts w:hint="eastAsia" w:ascii="仿宋_GB2312" w:hAnsi="Calibri" w:eastAsia="仿宋_GB2312" w:cs="仿宋_GB2312"/>
          <w:i w:val="0"/>
          <w:iCs w:val="0"/>
          <w:caps w:val="0"/>
          <w:color w:val="auto"/>
          <w:spacing w:val="0"/>
          <w:sz w:val="32"/>
          <w:szCs w:val="32"/>
          <w:shd w:val="clear" w:fill="FFFFFF"/>
          <w:lang w:eastAsia="zh-CN"/>
        </w:rPr>
        <w:t>尧都区</w:t>
      </w:r>
      <w:r>
        <w:rPr>
          <w:rFonts w:hint="eastAsia" w:ascii="仿宋_GB2312" w:hAnsi="Calibri" w:eastAsia="仿宋_GB2312" w:cs="仿宋_GB2312"/>
          <w:i w:val="0"/>
          <w:iCs w:val="0"/>
          <w:caps w:val="0"/>
          <w:color w:val="auto"/>
          <w:spacing w:val="0"/>
          <w:sz w:val="32"/>
          <w:szCs w:val="32"/>
          <w:shd w:val="clear" w:fill="FFFFFF"/>
        </w:rPr>
        <w:t>高质量发展提供有力保障。</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Chars="200"/>
        <w:jc w:val="both"/>
        <w:textAlignment w:val="auto"/>
        <w:rPr>
          <w:rFonts w:hint="eastAsia" w:ascii="黑体" w:hAnsi="黑体" w:eastAsia="黑体" w:cs="Times New Roman"/>
          <w:color w:val="auto"/>
          <w:kern w:val="0"/>
          <w:sz w:val="32"/>
          <w:szCs w:val="32"/>
          <w:lang w:val="en-US" w:eastAsia="zh-CN" w:bidi="ar-SA"/>
        </w:rPr>
      </w:pPr>
      <w:r>
        <w:rPr>
          <w:rFonts w:hint="eastAsia" w:ascii="黑体" w:hAnsi="黑体" w:eastAsia="黑体" w:cs="Times New Roman"/>
          <w:color w:val="auto"/>
          <w:kern w:val="0"/>
          <w:sz w:val="32"/>
          <w:szCs w:val="32"/>
          <w:lang w:val="en-US" w:eastAsia="zh-CN" w:bidi="ar-SA"/>
        </w:rPr>
        <w:t>其他需要报告的事项</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pPr>
      <w:r>
        <w:rPr>
          <w:rFonts w:hint="eastAsia" w:ascii="仿宋_GB2312" w:hAnsi="Calibri" w:eastAsia="仿宋_GB2312" w:cs="仿宋_GB2312"/>
          <w:b w:val="0"/>
          <w:bCs w:val="0"/>
          <w:i w:val="0"/>
          <w:iCs w:val="0"/>
          <w:caps w:val="0"/>
          <w:color w:val="333333"/>
          <w:spacing w:val="0"/>
          <w:kern w:val="0"/>
          <w:sz w:val="28"/>
          <w:szCs w:val="28"/>
          <w:shd w:val="clear" w:fill="FFFFFF"/>
          <w:lang w:val="en-US" w:eastAsia="zh-CN" w:bidi="ar"/>
        </w:rPr>
        <w:t>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right="0"/>
        <w:jc w:val="both"/>
        <w:rPr>
          <w:rFonts w:hint="eastAsia" w:ascii="仿宋_GB2312" w:hAnsi="Calibri" w:eastAsia="仿宋_GB2312" w:cs="仿宋_GB2312"/>
          <w:i w:val="0"/>
          <w:iCs w:val="0"/>
          <w:caps w:val="0"/>
          <w:color w:val="333333"/>
          <w:spacing w:val="0"/>
          <w:sz w:val="28"/>
          <w:szCs w:val="28"/>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560" w:firstLineChars="200"/>
        <w:jc w:val="both"/>
        <w:rPr>
          <w:rFonts w:hint="eastAsia" w:ascii="仿宋_GB2312" w:hAnsi="Calibri" w:eastAsia="仿宋_GB2312" w:cs="仿宋_GB2312"/>
          <w:i w:val="0"/>
          <w:iCs w:val="0"/>
          <w:caps w:val="0"/>
          <w:color w:val="333333"/>
          <w:spacing w:val="0"/>
          <w:sz w:val="28"/>
          <w:szCs w:val="28"/>
          <w:shd w:val="clear" w:fill="FFFFFF"/>
        </w:rPr>
      </w:pPr>
    </w:p>
    <w:p>
      <w:pPr>
        <w:jc w:val="right"/>
        <w:rPr>
          <w:rFonts w:hint="default" w:ascii="仿宋_GB2312" w:hAnsi="Calibri" w:eastAsia="仿宋_GB2312" w:cs="仿宋_GB2312"/>
          <w:i w:val="0"/>
          <w:iCs w:val="0"/>
          <w:caps w:val="0"/>
          <w:color w:val="333333"/>
          <w:spacing w:val="0"/>
          <w:kern w:val="0"/>
          <w:sz w:val="28"/>
          <w:szCs w:val="28"/>
          <w:shd w:val="clear" w:fill="FFFFFF"/>
          <w:lang w:val="en-US" w:eastAsia="zh-CN"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2C6BD"/>
    <w:multiLevelType w:val="singleLevel"/>
    <w:tmpl w:val="1172C6B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91A6F"/>
    <w:rsid w:val="09482E28"/>
    <w:rsid w:val="09722ECD"/>
    <w:rsid w:val="09EF38A0"/>
    <w:rsid w:val="16385E3D"/>
    <w:rsid w:val="1642631D"/>
    <w:rsid w:val="17122680"/>
    <w:rsid w:val="1B684130"/>
    <w:rsid w:val="215D04AF"/>
    <w:rsid w:val="29B570DA"/>
    <w:rsid w:val="2D74105A"/>
    <w:rsid w:val="2DD16483"/>
    <w:rsid w:val="2EA8720D"/>
    <w:rsid w:val="330737C3"/>
    <w:rsid w:val="37695060"/>
    <w:rsid w:val="3A8B3E58"/>
    <w:rsid w:val="406F2319"/>
    <w:rsid w:val="45C67B21"/>
    <w:rsid w:val="46521C81"/>
    <w:rsid w:val="4B4F71EE"/>
    <w:rsid w:val="4BA91A77"/>
    <w:rsid w:val="4C6065D9"/>
    <w:rsid w:val="4F2E10B0"/>
    <w:rsid w:val="51283CCA"/>
    <w:rsid w:val="51905BB3"/>
    <w:rsid w:val="52AD01E4"/>
    <w:rsid w:val="52C068DF"/>
    <w:rsid w:val="545E5D37"/>
    <w:rsid w:val="54F2623D"/>
    <w:rsid w:val="57F549C2"/>
    <w:rsid w:val="5ADF3707"/>
    <w:rsid w:val="5D155E50"/>
    <w:rsid w:val="60DA4171"/>
    <w:rsid w:val="629867A2"/>
    <w:rsid w:val="635F3637"/>
    <w:rsid w:val="64C60944"/>
    <w:rsid w:val="67D15C73"/>
    <w:rsid w:val="68646674"/>
    <w:rsid w:val="69146C72"/>
    <w:rsid w:val="6A5A4B58"/>
    <w:rsid w:val="6A615EE7"/>
    <w:rsid w:val="6BBD0EFB"/>
    <w:rsid w:val="72B017B9"/>
    <w:rsid w:val="78AA6DDB"/>
    <w:rsid w:val="7A1C44B5"/>
    <w:rsid w:val="7E094473"/>
    <w:rsid w:val="BEC6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cs="Arial"/>
      <w:b/>
      <w:bCs/>
      <w:sz w:val="32"/>
      <w:szCs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2022-02-23T16:10:00Z</dcterms:created>
  <dc:creator>Administrator</dc:creator>
  <cp:lastModifiedBy>baixin</cp:lastModifiedBy>
  <cp:lastPrinted>2022-02-23T17:37:00Z</cp:lastPrinted>
  <dcterms:modified xsi:type="dcterms:W3CDTF">2022-02-26T15:35:36Z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686E2442B77E46D088B72AA04B8626B9</vt:lpwstr>
  </property>
</Properties>
</file>