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39" w:rsidRDefault="00E21939">
      <w:pPr>
        <w:spacing w:line="600" w:lineRule="exact"/>
        <w:jc w:val="center"/>
      </w:pPr>
    </w:p>
    <w:p w:rsidR="00E21939" w:rsidRDefault="00E21939">
      <w:pPr>
        <w:spacing w:line="600" w:lineRule="exact"/>
        <w:jc w:val="center"/>
        <w:rPr>
          <w:rFonts w:ascii="方正小标宋简体" w:eastAsia="方正小标宋简体" w:hAnsi="方正小标宋简体" w:cs="方正小标宋简体"/>
          <w:sz w:val="44"/>
          <w:szCs w:val="44"/>
        </w:rPr>
      </w:pPr>
    </w:p>
    <w:p w:rsidR="00E21939" w:rsidRDefault="00CA3C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尧都区综合检验检测中心</w:t>
      </w:r>
    </w:p>
    <w:p w:rsidR="00E21939" w:rsidRDefault="00CA3C6A">
      <w:pPr>
        <w:pStyle w:val="2"/>
        <w:widowControl/>
        <w:shd w:val="clear" w:color="auto" w:fill="FFFFFF"/>
        <w:spacing w:beforeAutospacing="0" w:afterAutospacing="0" w:line="600" w:lineRule="exact"/>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b w:val="0"/>
          <w:bCs w:val="0"/>
          <w:sz w:val="44"/>
          <w:szCs w:val="44"/>
          <w:shd w:val="clear" w:color="auto" w:fill="FFFFFF"/>
        </w:rPr>
        <w:t>2021年政府信息公开工作年度报告</w:t>
      </w:r>
    </w:p>
    <w:p w:rsidR="00E21939" w:rsidRDefault="00E21939">
      <w:pPr>
        <w:spacing w:line="600" w:lineRule="exact"/>
        <w:jc w:val="center"/>
        <w:rPr>
          <w:sz w:val="32"/>
          <w:szCs w:val="32"/>
        </w:rPr>
      </w:pPr>
    </w:p>
    <w:p w:rsidR="00E21939" w:rsidRDefault="00CA3C6A">
      <w:pPr>
        <w:spacing w:line="600" w:lineRule="exact"/>
        <w:ind w:firstLineChars="200" w:firstLine="640"/>
        <w:jc w:val="left"/>
        <w:rPr>
          <w:rFonts w:ascii="黑体" w:eastAsia="黑体" w:hAnsi="黑体" w:cs="黑体"/>
          <w:sz w:val="32"/>
          <w:szCs w:val="32"/>
        </w:rPr>
      </w:pPr>
      <w:r>
        <w:rPr>
          <w:rFonts w:ascii="黑体" w:eastAsia="黑体" w:hAnsi="黑体" w:cs="黑体"/>
          <w:sz w:val="32"/>
          <w:szCs w:val="32"/>
        </w:rPr>
        <w:t>一、</w:t>
      </w:r>
      <w:r>
        <w:rPr>
          <w:rFonts w:ascii="黑体" w:eastAsia="黑体" w:hAnsi="黑体" w:cs="黑体" w:hint="eastAsia"/>
          <w:sz w:val="32"/>
          <w:szCs w:val="32"/>
        </w:rPr>
        <w:t>总体情况</w:t>
      </w:r>
    </w:p>
    <w:p w:rsidR="00E21939" w:rsidRDefault="00CA3C6A">
      <w:pPr>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sz w:val="32"/>
          <w:szCs w:val="32"/>
        </w:rPr>
        <w:t>（一）</w:t>
      </w:r>
      <w:r>
        <w:rPr>
          <w:rFonts w:ascii="楷体_GB2312" w:eastAsia="楷体_GB2312" w:hAnsi="楷体_GB2312" w:cs="楷体_GB2312" w:hint="eastAsia"/>
          <w:sz w:val="32"/>
          <w:szCs w:val="32"/>
        </w:rPr>
        <w:t>中心简介</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尧都区综合检验检测中心（尧都区农产品质量安全检验检测中心）是根据《尧都区人民政府关于尧都区食品药品监督管理体制改革的实施意见》（尧区政发〔2013〕46号）文件精神，于2016年7月正式成立组建，为区政府直属正科级全额财政拨款事业单位，核定编制10名，领导职数1正1副。办公地址为尧都区政府大院8号楼（华洲路1号），中心主任常舰中，联系方式：2228872。</w:t>
      </w:r>
    </w:p>
    <w:p w:rsidR="00E21939" w:rsidRDefault="00CA3C6A">
      <w:pPr>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sz w:val="32"/>
          <w:szCs w:val="32"/>
        </w:rPr>
        <w:t>（二）</w:t>
      </w:r>
      <w:r>
        <w:rPr>
          <w:rFonts w:ascii="楷体_GB2312" w:eastAsia="楷体_GB2312" w:hAnsi="楷体_GB2312" w:cs="楷体_GB2312" w:hint="eastAsia"/>
          <w:sz w:val="32"/>
          <w:szCs w:val="32"/>
        </w:rPr>
        <w:t>主要职责</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综合检验检测中心的主要工作是搞好食品、药品、农业产地环境和农产品质量安全检验检测，为区委、区政府领导决策提供参考和依据，为我区食品药品与农产品质量安全监管工作提供技术支撑和坚实保障。</w:t>
      </w:r>
      <w:r>
        <w:rPr>
          <w:rFonts w:ascii="仿宋_GB2312" w:eastAsia="仿宋_GB2312" w:hAnsi="仿宋_GB2312" w:cs="仿宋_GB2312" w:hint="eastAsia"/>
          <w:sz w:val="32"/>
          <w:szCs w:val="32"/>
        </w:rPr>
        <w:t>主要职责是：</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1.贯彻执行国家食品、药品与农产品质量安全有关法律法规和标准。</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2.承担全区有关食品、药品、化妆品和农产品的监督检验、评价性检验、委托检验及快速检验工作，综合上报和反</w:t>
      </w:r>
      <w:r>
        <w:rPr>
          <w:rFonts w:ascii="仿宋_GB2312" w:eastAsia="仿宋_GB2312" w:hAnsi="仿宋_GB2312" w:cs="仿宋_GB2312" w:hint="eastAsia"/>
          <w:sz w:val="32"/>
          <w:szCs w:val="32"/>
        </w:rPr>
        <w:lastRenderedPageBreak/>
        <w:t>馈食品、药品、化妆品和农产品质量检验检测信息，提供相关技术数据和质量分析报告。</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3.承担农业产地环境和农产品质量安全检验检测工作，承担本区域内农产品质量安全日常性检测、巡查调查、配合上级抽样，以及对乡镇监管站、生产基地和生产者技术指导和咨询服务。</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4.配合市场监管、农业农村等有关部门实施国家、省、市下达的食品、药品、化妆品和农产品抽验计划，负责评价我区自行抽验的抽样工作，并对抽验样品进行检验。</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hint="eastAsia"/>
          <w:sz w:val="32"/>
          <w:szCs w:val="32"/>
        </w:rPr>
        <w:t>5.开展食品、药品、化妆品和农产品检验检测方法和新技术的咨询、研究工作。</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6.参与有关食品、药品、化妆品和农产品检验检测方面地方标准的制定及评审工作。</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7.指导全区食品、药品、化妆品和农产品生产、经营单位的检验检测技术工作，提供技术咨询，组织技术人员培训。</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8.接受上级检验检测机构业务指导，并承担其交办的工作任务。</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9.承办区委、区政府交办的其他事项。</w:t>
      </w:r>
    </w:p>
    <w:p w:rsidR="00E21939" w:rsidRDefault="00CA3C6A">
      <w:pPr>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sz w:val="32"/>
          <w:szCs w:val="32"/>
        </w:rPr>
        <w:t>（三）食用农产品检验检测</w:t>
      </w:r>
      <w:r>
        <w:rPr>
          <w:rFonts w:ascii="楷体_GB2312" w:eastAsia="楷体_GB2312" w:hAnsi="楷体_GB2312" w:cs="楷体_GB2312" w:hint="eastAsia"/>
          <w:sz w:val="32"/>
          <w:szCs w:val="32"/>
        </w:rPr>
        <w:t>情况</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w:t>
      </w:r>
      <w:r>
        <w:rPr>
          <w:rFonts w:ascii="仿宋_GB2312" w:eastAsia="仿宋_GB2312" w:hAnsi="仿宋_GB2312" w:cs="仿宋_GB2312"/>
          <w:sz w:val="32"/>
          <w:szCs w:val="32"/>
        </w:rPr>
        <w:t>年我单位重点对蔬菜、水果</w:t>
      </w:r>
      <w:r>
        <w:rPr>
          <w:rFonts w:ascii="仿宋_GB2312" w:eastAsia="仿宋_GB2312" w:hAnsi="仿宋_GB2312" w:cs="仿宋_GB2312" w:hint="eastAsia"/>
          <w:sz w:val="32"/>
          <w:szCs w:val="32"/>
        </w:rPr>
        <w:t>、畜禽产品</w:t>
      </w:r>
      <w:r>
        <w:rPr>
          <w:rFonts w:ascii="仿宋_GB2312" w:eastAsia="仿宋_GB2312" w:hAnsi="仿宋_GB2312" w:cs="仿宋_GB2312"/>
          <w:sz w:val="32"/>
          <w:szCs w:val="32"/>
        </w:rPr>
        <w:t>中的农</w:t>
      </w:r>
      <w:r>
        <w:rPr>
          <w:rFonts w:ascii="仿宋_GB2312" w:eastAsia="仿宋_GB2312" w:hAnsi="仿宋_GB2312" w:cs="仿宋_GB2312" w:hint="eastAsia"/>
          <w:sz w:val="32"/>
          <w:szCs w:val="32"/>
        </w:rPr>
        <w:t>兽药</w:t>
      </w:r>
      <w:r>
        <w:rPr>
          <w:rFonts w:ascii="仿宋_GB2312" w:eastAsia="仿宋_GB2312" w:hAnsi="仿宋_GB2312" w:cs="仿宋_GB2312"/>
          <w:sz w:val="32"/>
          <w:szCs w:val="32"/>
        </w:rPr>
        <w:t>残留</w:t>
      </w:r>
      <w:r>
        <w:rPr>
          <w:rFonts w:ascii="仿宋_GB2312" w:eastAsia="仿宋_GB2312" w:hAnsi="仿宋_GB2312" w:cs="仿宋_GB2312" w:hint="eastAsia"/>
          <w:sz w:val="32"/>
          <w:szCs w:val="32"/>
        </w:rPr>
        <w:t>和部分理化指标</w:t>
      </w:r>
      <w:r>
        <w:rPr>
          <w:rFonts w:ascii="仿宋_GB2312" w:eastAsia="仿宋_GB2312" w:hAnsi="仿宋_GB2312" w:cs="仿宋_GB2312"/>
          <w:sz w:val="32"/>
          <w:szCs w:val="32"/>
        </w:rPr>
        <w:t>进行快速检测和定量检测，主要</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区域为全区综合农贸（批发）市场、大型超市以及辖区内农产品生产基地，检测</w:t>
      </w:r>
      <w:r>
        <w:rPr>
          <w:rFonts w:ascii="仿宋_GB2312" w:eastAsia="仿宋_GB2312" w:hAnsi="仿宋_GB2312" w:cs="仿宋_GB2312" w:hint="eastAsia"/>
          <w:sz w:val="32"/>
          <w:szCs w:val="32"/>
        </w:rPr>
        <w:t>服务</w:t>
      </w:r>
      <w:r>
        <w:rPr>
          <w:rFonts w:ascii="仿宋_GB2312" w:eastAsia="仿宋_GB2312" w:hAnsi="仿宋_GB2312" w:cs="仿宋_GB2312"/>
          <w:sz w:val="32"/>
          <w:szCs w:val="32"/>
        </w:rPr>
        <w:t>项目包括有机磷</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氨基甲酸酯类农药残</w:t>
      </w:r>
      <w:r>
        <w:rPr>
          <w:rFonts w:ascii="仿宋_GB2312" w:eastAsia="仿宋_GB2312" w:hAnsi="仿宋_GB2312" w:cs="仿宋_GB2312"/>
          <w:sz w:val="32"/>
          <w:szCs w:val="32"/>
        </w:rPr>
        <w:lastRenderedPageBreak/>
        <w:t>留、</w:t>
      </w:r>
      <w:r>
        <w:rPr>
          <w:rFonts w:ascii="仿宋_GB2312" w:eastAsia="仿宋_GB2312" w:hAnsi="仿宋_GB2312" w:cs="仿宋_GB2312" w:hint="eastAsia"/>
          <w:sz w:val="32"/>
          <w:szCs w:val="32"/>
        </w:rPr>
        <w:t>瘦肉精和恩诺沙星兽药残留、</w:t>
      </w:r>
      <w:r>
        <w:rPr>
          <w:rFonts w:ascii="仿宋_GB2312" w:eastAsia="仿宋_GB2312" w:hAnsi="仿宋_GB2312" w:cs="仿宋_GB2312"/>
          <w:sz w:val="32"/>
          <w:szCs w:val="32"/>
        </w:rPr>
        <w:t>可滴定酸及可溶性固形物等</w:t>
      </w:r>
      <w:r>
        <w:rPr>
          <w:rFonts w:ascii="仿宋_GB2312" w:eastAsia="仿宋_GB2312" w:hAnsi="仿宋_GB2312" w:cs="仿宋_GB2312" w:hint="eastAsia"/>
          <w:sz w:val="32"/>
          <w:szCs w:val="32"/>
        </w:rPr>
        <w:t>理化指标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截止12月底，</w:t>
      </w:r>
      <w:r>
        <w:rPr>
          <w:rFonts w:ascii="仿宋_GB2312" w:eastAsia="仿宋_GB2312" w:hAnsi="仿宋_GB2312" w:cs="仿宋_GB2312"/>
          <w:sz w:val="32"/>
          <w:szCs w:val="32"/>
        </w:rPr>
        <w:t>完成快速检测</w:t>
      </w:r>
      <w:r>
        <w:rPr>
          <w:rFonts w:ascii="仿宋_GB2312" w:eastAsia="仿宋_GB2312" w:hAnsi="仿宋_GB2312" w:cs="仿宋_GB2312" w:hint="eastAsia"/>
          <w:sz w:val="32"/>
          <w:szCs w:val="32"/>
        </w:rPr>
        <w:t>服务210</w:t>
      </w:r>
      <w:r>
        <w:rPr>
          <w:rFonts w:ascii="仿宋_GB2312" w:eastAsia="仿宋_GB2312" w:hAnsi="仿宋_GB2312" w:cs="仿宋_GB2312"/>
          <w:sz w:val="32"/>
          <w:szCs w:val="32"/>
        </w:rPr>
        <w:t>批次，定量检测</w:t>
      </w:r>
      <w:r>
        <w:rPr>
          <w:rFonts w:ascii="仿宋_GB2312" w:eastAsia="仿宋_GB2312" w:hAnsi="仿宋_GB2312" w:cs="仿宋_GB2312" w:hint="eastAsia"/>
          <w:sz w:val="32"/>
          <w:szCs w:val="32"/>
        </w:rPr>
        <w:t>服务230</w:t>
      </w:r>
      <w:r>
        <w:rPr>
          <w:rFonts w:ascii="仿宋_GB2312" w:eastAsia="仿宋_GB2312" w:hAnsi="仿宋_GB2312" w:cs="仿宋_GB2312"/>
          <w:sz w:val="32"/>
          <w:szCs w:val="32"/>
        </w:rPr>
        <w:t>批次</w:t>
      </w:r>
      <w:r>
        <w:rPr>
          <w:rFonts w:ascii="仿宋_GB2312" w:eastAsia="仿宋_GB2312" w:hAnsi="仿宋_GB2312" w:cs="仿宋_GB2312" w:hint="eastAsia"/>
          <w:sz w:val="32"/>
          <w:szCs w:val="32"/>
        </w:rPr>
        <w:t>，均超额完成任务</w:t>
      </w:r>
      <w:r>
        <w:rPr>
          <w:rFonts w:ascii="仿宋_GB2312" w:eastAsia="仿宋_GB2312" w:hAnsi="仿宋_GB2312" w:cs="仿宋_GB2312"/>
          <w:sz w:val="32"/>
          <w:szCs w:val="32"/>
        </w:rPr>
        <w:t>。抽检样品主要为时令蔬菜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水果</w:t>
      </w:r>
      <w:r>
        <w:rPr>
          <w:rFonts w:ascii="仿宋_GB2312" w:eastAsia="仿宋_GB2312" w:hAnsi="仿宋_GB2312" w:cs="仿宋_GB2312" w:hint="eastAsia"/>
          <w:sz w:val="32"/>
          <w:szCs w:val="32"/>
        </w:rPr>
        <w:t>、新鲜畜禽产品</w:t>
      </w:r>
      <w:r>
        <w:rPr>
          <w:rFonts w:ascii="仿宋_GB2312" w:eastAsia="仿宋_GB2312" w:hAnsi="仿宋_GB2312" w:cs="仿宋_GB2312"/>
          <w:sz w:val="32"/>
          <w:szCs w:val="32"/>
        </w:rPr>
        <w:t>，包括西红柿、白菜、西葫芦、茄子、草莓、无花果、苹果、桃等，检测合格率为</w:t>
      </w:r>
      <w:r>
        <w:rPr>
          <w:rFonts w:ascii="仿宋_GB2312" w:eastAsia="仿宋_GB2312" w:hAnsi="仿宋_GB2312" w:cs="仿宋_GB2312" w:hint="eastAsia"/>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做到了根据实验数据及时掌握食品安全动态。</w:t>
      </w:r>
    </w:p>
    <w:p w:rsidR="00E21939" w:rsidRDefault="00CA3C6A">
      <w:pPr>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sz w:val="32"/>
          <w:szCs w:val="32"/>
        </w:rPr>
        <w:t>（四）</w:t>
      </w:r>
      <w:r>
        <w:rPr>
          <w:rFonts w:ascii="楷体_GB2312" w:eastAsia="楷体_GB2312" w:hAnsi="楷体_GB2312" w:cs="楷体_GB2312" w:hint="eastAsia"/>
          <w:sz w:val="32"/>
          <w:szCs w:val="32"/>
        </w:rPr>
        <w:t>法律法规和国家政策信息公开情况</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我们利用各种渠道、各种手段，大力宣传普及食品、药品、农产品检验检测有关</w:t>
      </w:r>
      <w:r>
        <w:rPr>
          <w:rFonts w:ascii="仿宋_GB2312" w:eastAsia="仿宋_GB2312" w:hAnsi="仿宋_GB2312" w:cs="仿宋_GB2312" w:hint="eastAsia"/>
          <w:sz w:val="32"/>
          <w:szCs w:val="32"/>
        </w:rPr>
        <w:t>法律法规</w:t>
      </w:r>
      <w:r>
        <w:rPr>
          <w:rFonts w:ascii="仿宋_GB2312" w:eastAsia="仿宋_GB2312" w:hAnsi="仿宋_GB2312" w:cs="仿宋_GB2312"/>
          <w:sz w:val="32"/>
          <w:szCs w:val="32"/>
        </w:rPr>
        <w:t>政策、业务、信息等；</w:t>
      </w:r>
      <w:r>
        <w:rPr>
          <w:rFonts w:ascii="仿宋_GB2312" w:eastAsia="仿宋_GB2312" w:hAnsi="仿宋_GB2312" w:cs="仿宋_GB2312" w:hint="eastAsia"/>
          <w:sz w:val="32"/>
          <w:szCs w:val="32"/>
        </w:rPr>
        <w:t>截至目前，</w:t>
      </w:r>
      <w:r>
        <w:rPr>
          <w:rFonts w:ascii="仿宋_GB2312" w:eastAsia="仿宋_GB2312" w:hAnsi="仿宋_GB2312" w:cs="仿宋_GB2312"/>
          <w:sz w:val="32"/>
          <w:szCs w:val="32"/>
        </w:rPr>
        <w:t>印发工作简报</w:t>
      </w:r>
      <w:r>
        <w:rPr>
          <w:rFonts w:ascii="仿宋_GB2312" w:eastAsia="仿宋_GB2312" w:hAnsi="仿宋_GB2312" w:cs="仿宋_GB2312" w:hint="eastAsia"/>
          <w:sz w:val="32"/>
          <w:szCs w:val="32"/>
        </w:rPr>
        <w:t>40</w:t>
      </w:r>
      <w:r>
        <w:rPr>
          <w:rFonts w:ascii="仿宋_GB2312" w:eastAsia="仿宋_GB2312" w:hAnsi="仿宋_GB2312" w:cs="仿宋_GB2312"/>
          <w:sz w:val="32"/>
          <w:szCs w:val="32"/>
        </w:rPr>
        <w:t>期，利用3·15消费者权益保护日、</w:t>
      </w:r>
      <w:r>
        <w:rPr>
          <w:rFonts w:ascii="仿宋_GB2312" w:eastAsia="仿宋_GB2312" w:hAnsi="仿宋_GB2312" w:cs="仿宋_GB2312" w:hint="eastAsia"/>
          <w:sz w:val="32"/>
          <w:szCs w:val="32"/>
        </w:rPr>
        <w:t>党史学习教育、农产品基地</w:t>
      </w:r>
      <w:r>
        <w:rPr>
          <w:rFonts w:ascii="仿宋_GB2312" w:eastAsia="仿宋_GB2312" w:hAnsi="仿宋_GB2312" w:cs="仿宋_GB2312"/>
          <w:sz w:val="32"/>
          <w:szCs w:val="32"/>
        </w:rPr>
        <w:t>调研</w:t>
      </w:r>
      <w:r>
        <w:rPr>
          <w:rFonts w:ascii="仿宋_GB2312" w:eastAsia="仿宋_GB2312" w:hAnsi="仿宋_GB2312" w:cs="仿宋_GB2312" w:hint="eastAsia"/>
          <w:sz w:val="32"/>
          <w:szCs w:val="32"/>
        </w:rPr>
        <w:t>活动、</w:t>
      </w:r>
      <w:r>
        <w:rPr>
          <w:rFonts w:ascii="仿宋_GB2312" w:eastAsia="仿宋_GB2312" w:hAnsi="仿宋_GB2312" w:cs="仿宋_GB2312"/>
          <w:sz w:val="32"/>
          <w:szCs w:val="32"/>
        </w:rPr>
        <w:t>12·4国家宪法日等契机，深入农村、社区、农贸市场等，</w:t>
      </w:r>
      <w:r>
        <w:rPr>
          <w:rFonts w:ascii="仿宋_GB2312" w:eastAsia="仿宋_GB2312" w:hAnsi="仿宋_GB2312" w:cs="仿宋_GB2312" w:hint="eastAsia"/>
          <w:sz w:val="32"/>
          <w:szCs w:val="32"/>
        </w:rPr>
        <w:t>积极开展法律法规知识及检验检测知识宣传教育，发放</w:t>
      </w:r>
      <w:r w:rsidR="00BD1487">
        <w:rPr>
          <w:rFonts w:ascii="仿宋_GB2312" w:eastAsia="仿宋_GB2312" w:hAnsi="仿宋_GB2312" w:cs="仿宋_GB2312" w:hint="eastAsia"/>
          <w:sz w:val="32"/>
          <w:szCs w:val="32"/>
        </w:rPr>
        <w:t>《中华人民共和国宪法》</w:t>
      </w:r>
      <w:r>
        <w:rPr>
          <w:rFonts w:ascii="仿宋_GB2312" w:eastAsia="仿宋_GB2312" w:hAnsi="仿宋_GB2312" w:cs="仿宋_GB2312" w:hint="eastAsia"/>
          <w:sz w:val="32"/>
          <w:szCs w:val="32"/>
        </w:rPr>
        <w:t>《民法典》及农产品质量安全法律法规宣传资料1万份，</w:t>
      </w:r>
      <w:r>
        <w:rPr>
          <w:rFonts w:ascii="仿宋_GB2312" w:eastAsia="仿宋_GB2312" w:hAnsi="仿宋_GB2312" w:cs="仿宋_GB2312"/>
          <w:sz w:val="32"/>
          <w:szCs w:val="32"/>
        </w:rPr>
        <w:t>营造全社会共同关心支持检验检测工作的良好氛围。</w:t>
      </w:r>
    </w:p>
    <w:p w:rsidR="00E21939" w:rsidRDefault="00CA3C6A">
      <w:pPr>
        <w:ind w:firstLineChars="200" w:firstLine="640"/>
        <w:jc w:val="left"/>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主动公开政府信息情况</w:t>
      </w:r>
    </w:p>
    <w:tbl>
      <w:tblPr>
        <w:tblW w:w="8140" w:type="dxa"/>
        <w:jc w:val="center"/>
        <w:tblLayout w:type="fixed"/>
        <w:tblCellMar>
          <w:left w:w="0" w:type="dxa"/>
          <w:right w:w="0" w:type="dxa"/>
        </w:tblCellMar>
        <w:tblLook w:val="04A0"/>
      </w:tblPr>
      <w:tblGrid>
        <w:gridCol w:w="3113"/>
        <w:gridCol w:w="1636"/>
        <w:gridCol w:w="1510"/>
        <w:gridCol w:w="1881"/>
      </w:tblGrid>
      <w:tr w:rsidR="00E21939">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E21939">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63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本年制发件数</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本年废止件数</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现行有效件数</w:t>
            </w:r>
          </w:p>
        </w:tc>
      </w:tr>
      <w:tr w:rsidR="00E21939">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color w:val="000000"/>
                <w:kern w:val="0"/>
                <w:sz w:val="20"/>
                <w:szCs w:val="20"/>
              </w:rPr>
              <w:t>规章</w:t>
            </w:r>
          </w:p>
        </w:tc>
        <w:tc>
          <w:tcPr>
            <w:tcW w:w="16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r>
      <w:tr w:rsidR="00E21939">
        <w:trPr>
          <w:trHeight w:val="636"/>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color w:val="000000"/>
                <w:kern w:val="0"/>
                <w:sz w:val="20"/>
                <w:szCs w:val="20"/>
              </w:rPr>
              <w:t>规范性文件</w:t>
            </w:r>
          </w:p>
        </w:tc>
        <w:tc>
          <w:tcPr>
            <w:tcW w:w="163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c>
          <w:tcPr>
            <w:tcW w:w="1510"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r>
      <w:tr w:rsidR="00E21939">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E21939">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本年处理决定数量</w:t>
            </w:r>
          </w:p>
        </w:tc>
      </w:tr>
      <w:tr w:rsidR="00E21939">
        <w:trPr>
          <w:trHeight w:val="73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color w:val="000000"/>
                <w:kern w:val="0"/>
                <w:sz w:val="20"/>
                <w:szCs w:val="20"/>
              </w:rPr>
              <w:lastRenderedPageBreak/>
              <w:t>行政许可</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hint="eastAsia"/>
                <w:kern w:val="0"/>
                <w:sz w:val="24"/>
                <w:szCs w:val="24"/>
              </w:rPr>
              <w:t>0</w:t>
            </w:r>
          </w:p>
        </w:tc>
      </w:tr>
      <w:tr w:rsidR="00E21939">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E21939">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本年处理决定数量</w:t>
            </w:r>
          </w:p>
        </w:tc>
      </w:tr>
      <w:tr w:rsidR="00E21939">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color w:val="000000"/>
                <w:kern w:val="0"/>
                <w:sz w:val="20"/>
                <w:szCs w:val="20"/>
              </w:rPr>
              <w:t>行政处罚</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r>
      <w:tr w:rsidR="00E21939">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color w:val="000000"/>
                <w:kern w:val="0"/>
                <w:sz w:val="20"/>
                <w:szCs w:val="20"/>
              </w:rPr>
              <w:t>行政强制</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r>
      <w:tr w:rsidR="00E21939">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第二十条第（八）项</w:t>
            </w:r>
          </w:p>
        </w:tc>
      </w:tr>
      <w:tr w:rsidR="00E21939">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本年收费金额（单位：万元）</w:t>
            </w:r>
          </w:p>
        </w:tc>
      </w:tr>
      <w:tr w:rsidR="00E21939">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color w:val="000000"/>
                <w:kern w:val="0"/>
                <w:sz w:val="20"/>
                <w:szCs w:val="20"/>
              </w:rPr>
              <w:t>行政事业性收费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0</w:t>
            </w:r>
          </w:p>
        </w:tc>
      </w:tr>
    </w:tbl>
    <w:p w:rsidR="00E21939" w:rsidRDefault="00E21939" w:rsidP="00BD1487">
      <w:pPr>
        <w:spacing w:afterLines="50"/>
        <w:jc w:val="left"/>
        <w:rPr>
          <w:rFonts w:ascii="黑体" w:eastAsia="黑体" w:hAnsi="黑体" w:cs="黑体"/>
          <w:sz w:val="32"/>
          <w:szCs w:val="32"/>
        </w:rPr>
      </w:pPr>
    </w:p>
    <w:p w:rsidR="00E21939" w:rsidRDefault="00CA3C6A" w:rsidP="00BD1487">
      <w:pPr>
        <w:spacing w:afterLines="50"/>
        <w:jc w:val="left"/>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071" w:type="dxa"/>
        <w:jc w:val="center"/>
        <w:tblCellMar>
          <w:left w:w="0" w:type="dxa"/>
          <w:right w:w="0" w:type="dxa"/>
        </w:tblCellMar>
        <w:tblLook w:val="04A0"/>
      </w:tblPr>
      <w:tblGrid>
        <w:gridCol w:w="616"/>
        <w:gridCol w:w="854"/>
        <w:gridCol w:w="2086"/>
        <w:gridCol w:w="813"/>
        <w:gridCol w:w="755"/>
        <w:gridCol w:w="755"/>
        <w:gridCol w:w="813"/>
        <w:gridCol w:w="973"/>
        <w:gridCol w:w="711"/>
        <w:gridCol w:w="695"/>
      </w:tblGrid>
      <w:tr w:rsidR="00E21939">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申请人情况</w:t>
            </w:r>
          </w:p>
        </w:tc>
      </w:tr>
      <w:tr w:rsidR="00E2193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总计</w:t>
            </w:r>
          </w:p>
        </w:tc>
      </w:tr>
      <w:tr w:rsidR="00E21939">
        <w:trPr>
          <w:trHeight w:val="801"/>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r>
      <w:tr w:rsidR="00E21939">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trHeight w:val="819"/>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hint="eastAsia"/>
                <w:kern w:val="0"/>
                <w:sz w:val="20"/>
                <w:szCs w:val="20"/>
              </w:rPr>
              <w:t>（四）</w:t>
            </w:r>
            <w:r>
              <w:rPr>
                <w:rFonts w:ascii="楷体" w:eastAsia="楷体" w:hAnsi="楷体" w:cs="宋体" w:hint="eastAsia"/>
                <w:kern w:val="0"/>
                <w:sz w:val="20"/>
                <w:szCs w:val="20"/>
              </w:rPr>
              <w:lastRenderedPageBreak/>
              <w:t>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lastRenderedPageBreak/>
              <w:t>1.</w:t>
            </w:r>
            <w:r>
              <w:rPr>
                <w:rFonts w:ascii="楷体" w:eastAsia="楷体" w:hAnsi="楷体" w:cs="宋体" w:hint="eastAsia"/>
                <w:kern w:val="0"/>
                <w:sz w:val="20"/>
                <w:szCs w:val="20"/>
              </w:rPr>
              <w:t>本机关不掌握相关</w:t>
            </w:r>
            <w:r>
              <w:rPr>
                <w:rFonts w:ascii="楷体" w:eastAsia="楷体" w:hAnsi="楷体" w:cs="宋体" w:hint="eastAsia"/>
                <w:kern w:val="0"/>
                <w:sz w:val="20"/>
                <w:szCs w:val="20"/>
              </w:rPr>
              <w:lastRenderedPageBreak/>
              <w:t>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lastRenderedPageBreak/>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trHeight w:val="780"/>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left"/>
              <w:rPr>
                <w:rFonts w:ascii="宋体" w:eastAsia="楷体" w:cs="宋体"/>
                <w:kern w:val="0"/>
                <w:sz w:val="24"/>
                <w:szCs w:val="24"/>
              </w:rPr>
            </w:pPr>
            <w:r>
              <w:rPr>
                <w:rFonts w:ascii="楷体" w:eastAsia="楷体" w:hAnsi="楷体" w:cs="宋体" w:hint="eastAsia"/>
                <w:kern w:val="0"/>
                <w:sz w:val="20"/>
                <w:szCs w:val="20"/>
              </w:rPr>
              <w:t>（六）其他处理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楷体" w:eastAsia="楷体" w:hAnsi="楷体" w:cs="宋体"/>
                <w:kern w:val="0"/>
                <w:sz w:val="20"/>
                <w:szCs w:val="20"/>
              </w:rPr>
            </w:pPr>
            <w:r>
              <w:rPr>
                <w:rFonts w:ascii="楷体" w:eastAsia="楷体" w:hAnsi="楷体" w:cs="宋体" w:hint="eastAsia"/>
                <w:kern w:val="0"/>
                <w:sz w:val="20"/>
                <w:szCs w:val="20"/>
              </w:rPr>
              <w:t>1.申请人无正当理由逾期不补正、行政机关不再处理其政府信息公开申请</w:t>
            </w:r>
          </w:p>
        </w:tc>
        <w:tc>
          <w:tcPr>
            <w:tcW w:w="813"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vMerge w:val="restart"/>
            <w:tcBorders>
              <w:top w:val="nil"/>
              <w:left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trHeight w:val="312"/>
          <w:jc w:val="center"/>
        </w:trPr>
        <w:tc>
          <w:tcPr>
            <w:tcW w:w="616" w:type="dxa"/>
            <w:vMerge/>
            <w:tcBorders>
              <w:left w:val="single" w:sz="8" w:space="0" w:color="auto"/>
              <w:bottom w:val="single" w:sz="8" w:space="0" w:color="auto"/>
              <w:right w:val="single" w:sz="8" w:space="0" w:color="auto"/>
            </w:tcBorders>
            <w:vAlign w:val="center"/>
          </w:tcPr>
          <w:p w:rsidR="00E21939" w:rsidRDefault="00E21939">
            <w:pPr>
              <w:widowControl/>
              <w:jc w:val="left"/>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楷体" w:eastAsia="楷体" w:hAnsi="楷体" w:cs="宋体"/>
                <w:kern w:val="0"/>
                <w:sz w:val="20"/>
                <w:szCs w:val="20"/>
              </w:rPr>
            </w:pPr>
            <w:r>
              <w:rPr>
                <w:rFonts w:ascii="楷体" w:eastAsia="楷体" w:hAnsi="楷体" w:cs="宋体" w:hint="eastAsia"/>
                <w:kern w:val="0"/>
                <w:sz w:val="20"/>
                <w:szCs w:val="20"/>
              </w:rPr>
              <w:t>2.申请人逾期未按收费通知要求缴纳费用、行政机关不再处理其政府信息公开申请</w:t>
            </w:r>
          </w:p>
        </w:tc>
        <w:tc>
          <w:tcPr>
            <w:tcW w:w="813"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755"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755"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813"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973"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711"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695"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r>
      <w:tr w:rsidR="00E21939">
        <w:trPr>
          <w:trHeight w:val="312"/>
          <w:jc w:val="center"/>
        </w:trPr>
        <w:tc>
          <w:tcPr>
            <w:tcW w:w="616" w:type="dxa"/>
            <w:vMerge/>
            <w:tcBorders>
              <w:left w:val="single" w:sz="8" w:space="0" w:color="auto"/>
              <w:bottom w:val="single" w:sz="8" w:space="0" w:color="auto"/>
              <w:right w:val="single" w:sz="8" w:space="0" w:color="auto"/>
            </w:tcBorders>
            <w:vAlign w:val="center"/>
          </w:tcPr>
          <w:p w:rsidR="00E21939" w:rsidRDefault="00E21939">
            <w:pPr>
              <w:widowControl/>
              <w:jc w:val="left"/>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楷体" w:eastAsia="楷体" w:hAnsi="楷体" w:cs="宋体"/>
                <w:kern w:val="0"/>
                <w:sz w:val="20"/>
                <w:szCs w:val="20"/>
              </w:rPr>
            </w:pPr>
            <w:r>
              <w:rPr>
                <w:rFonts w:ascii="楷体" w:eastAsia="楷体" w:hAnsi="楷体" w:cs="宋体" w:hint="eastAsia"/>
                <w:kern w:val="0"/>
                <w:sz w:val="20"/>
                <w:szCs w:val="20"/>
              </w:rPr>
              <w:t>3.其他</w:t>
            </w:r>
          </w:p>
        </w:tc>
        <w:tc>
          <w:tcPr>
            <w:tcW w:w="813"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755"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755"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813"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973"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711"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c>
          <w:tcPr>
            <w:tcW w:w="695" w:type="dxa"/>
            <w:vMerge/>
            <w:tcBorders>
              <w:left w:val="nil"/>
              <w:bottom w:val="single" w:sz="8" w:space="0" w:color="auto"/>
              <w:right w:val="single" w:sz="8" w:space="0" w:color="auto"/>
            </w:tcBorders>
            <w:tcMar>
              <w:top w:w="0" w:type="dxa"/>
              <w:left w:w="108" w:type="dxa"/>
              <w:bottom w:w="0" w:type="dxa"/>
              <w:right w:w="108" w:type="dxa"/>
            </w:tcMar>
            <w:vAlign w:val="center"/>
          </w:tcPr>
          <w:p w:rsidR="00E21939" w:rsidRDefault="00E21939">
            <w:pPr>
              <w:widowControl/>
              <w:jc w:val="left"/>
              <w:rPr>
                <w:rFonts w:ascii="楷体" w:eastAsia="楷体" w:hAnsi="楷体" w:cs="宋体"/>
                <w:kern w:val="0"/>
                <w:sz w:val="20"/>
                <w:szCs w:val="20"/>
              </w:rPr>
            </w:pPr>
          </w:p>
        </w:tc>
      </w:tr>
      <w:tr w:rsidR="00E21939">
        <w:trPr>
          <w:jc w:val="center"/>
        </w:trPr>
        <w:tc>
          <w:tcPr>
            <w:tcW w:w="616" w:type="dxa"/>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r w:rsidR="00E21939">
        <w:trPr>
          <w:jc w:val="center"/>
        </w:trPr>
        <w:tc>
          <w:tcPr>
            <w:tcW w:w="35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hint="eastAsia"/>
                <w:kern w:val="0"/>
                <w:sz w:val="20"/>
                <w:szCs w:val="20"/>
              </w:rPr>
              <w:t>0</w:t>
            </w:r>
          </w:p>
        </w:tc>
      </w:tr>
    </w:tbl>
    <w:p w:rsidR="00E21939" w:rsidRDefault="00E21939"/>
    <w:p w:rsidR="00E21939" w:rsidRDefault="00CA3C6A">
      <w:pPr>
        <w:jc w:val="left"/>
        <w:rPr>
          <w:rFonts w:ascii="黑体" w:eastAsia="黑体" w:hAnsi="黑体" w:cs="黑体"/>
          <w:sz w:val="32"/>
          <w:szCs w:val="32"/>
        </w:rPr>
      </w:pPr>
      <w:r>
        <w:rPr>
          <w:rFonts w:ascii="黑体" w:eastAsia="黑体" w:hAnsi="黑体" w:cs="黑体"/>
          <w:sz w:val="32"/>
          <w:szCs w:val="32"/>
        </w:rPr>
        <w:t>四、</w:t>
      </w:r>
      <w:r>
        <w:rPr>
          <w:rFonts w:ascii="黑体" w:eastAsia="黑体" w:hAnsi="黑体" w:cs="黑体" w:hint="eastAsia"/>
          <w:sz w:val="32"/>
          <w:szCs w:val="32"/>
        </w:rPr>
        <w:t>政府信息公开行政复议、行政诉讼情况</w:t>
      </w:r>
    </w:p>
    <w:p w:rsidR="00E21939" w:rsidRDefault="00E21939"/>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E21939">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行政诉讼</w:t>
            </w:r>
          </w:p>
        </w:tc>
      </w:tr>
      <w:tr w:rsidR="00E21939">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复议后起诉</w:t>
            </w:r>
          </w:p>
        </w:tc>
      </w:tr>
      <w:tr w:rsidR="00E21939">
        <w:trPr>
          <w:jc w:val="center"/>
        </w:trPr>
        <w:tc>
          <w:tcPr>
            <w:tcW w:w="0" w:type="auto"/>
            <w:vMerge/>
            <w:tcBorders>
              <w:top w:val="nil"/>
              <w:left w:val="single" w:sz="8" w:space="0" w:color="auto"/>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E21939" w:rsidRDefault="00E21939">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hAnsi="宋体" w:cs="宋体" w:hint="eastAsia"/>
                <w:color w:val="000000"/>
                <w:kern w:val="0"/>
                <w:sz w:val="20"/>
                <w:szCs w:val="20"/>
              </w:rPr>
              <w:t>总计</w:t>
            </w:r>
          </w:p>
        </w:tc>
      </w:tr>
      <w:tr w:rsidR="00E21939">
        <w:trPr>
          <w:jc w:val="center"/>
        </w:trPr>
        <w:tc>
          <w:tcPr>
            <w:tcW w:w="604" w:type="dxa"/>
            <w:tcBorders>
              <w:top w:val="nil"/>
              <w:left w:val="single" w:sz="8" w:space="0" w:color="auto"/>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04"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04"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04"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658"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0"/>
                <w:szCs w:val="20"/>
              </w:rPr>
            </w:pPr>
            <w:r>
              <w:rPr>
                <w:rFonts w:ascii="宋体" w:cs="宋体"/>
                <w:kern w:val="0"/>
                <w:sz w:val="20"/>
                <w:szCs w:val="20"/>
              </w:rPr>
              <w:t> </w:t>
            </w:r>
            <w:r>
              <w:rPr>
                <w:rFonts w:ascii="宋体" w:cs="宋体" w:hint="eastAsia"/>
                <w:kern w:val="0"/>
                <w:sz w:val="20"/>
                <w:szCs w:val="20"/>
              </w:rPr>
              <w:t>0</w:t>
            </w:r>
          </w:p>
        </w:tc>
        <w:tc>
          <w:tcPr>
            <w:tcW w:w="550"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hint="eastAsia"/>
                <w:color w:val="000000"/>
                <w:kern w:val="0"/>
                <w:sz w:val="20"/>
                <w:szCs w:val="20"/>
              </w:rPr>
              <w:t>0</w:t>
            </w:r>
            <w:r>
              <w:rPr>
                <w:rFonts w:ascii="宋体" w:cs="宋体"/>
                <w:color w:val="000000"/>
                <w:kern w:val="0"/>
                <w:sz w:val="20"/>
                <w:szCs w:val="20"/>
              </w:rPr>
              <w:t> </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color w:val="000000"/>
                <w:kern w:val="0"/>
                <w:sz w:val="20"/>
                <w:szCs w:val="20"/>
              </w:rPr>
              <w:t> </w:t>
            </w:r>
            <w:r>
              <w:rPr>
                <w:rFonts w:ascii="宋体" w:cs="宋体" w:hint="eastAsia"/>
                <w:color w:val="000000"/>
                <w:kern w:val="0"/>
                <w:sz w:val="20"/>
                <w:szCs w:val="20"/>
              </w:rPr>
              <w:t>0</w:t>
            </w:r>
          </w:p>
        </w:tc>
        <w:tc>
          <w:tcPr>
            <w:tcW w:w="606"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center"/>
              <w:rPr>
                <w:rFonts w:ascii="宋体" w:cs="宋体"/>
                <w:kern w:val="0"/>
                <w:sz w:val="24"/>
                <w:szCs w:val="24"/>
              </w:rPr>
            </w:pPr>
            <w:r>
              <w:rPr>
                <w:rFonts w:ascii="宋体" w:cs="宋体"/>
                <w:kern w:val="0"/>
                <w:sz w:val="20"/>
                <w:szCs w:val="20"/>
              </w:rPr>
              <w:t> </w:t>
            </w:r>
            <w:r>
              <w:rPr>
                <w:rFonts w:ascii="宋体" w:cs="宋体" w:hint="eastAsia"/>
                <w:kern w:val="0"/>
                <w:sz w:val="20"/>
                <w:szCs w:val="20"/>
              </w:rPr>
              <w:t>0</w:t>
            </w:r>
          </w:p>
        </w:tc>
        <w:tc>
          <w:tcPr>
            <w:tcW w:w="606" w:type="dxa"/>
            <w:tcBorders>
              <w:top w:val="nil"/>
              <w:left w:val="nil"/>
              <w:bottom w:val="nil"/>
              <w:right w:val="single" w:sz="8" w:space="0" w:color="auto"/>
            </w:tcBorders>
            <w:tcMar>
              <w:top w:w="0" w:type="dxa"/>
              <w:left w:w="108" w:type="dxa"/>
              <w:bottom w:w="0" w:type="dxa"/>
              <w:right w:w="108" w:type="dxa"/>
            </w:tcMar>
            <w:vAlign w:val="center"/>
          </w:tcPr>
          <w:p w:rsidR="00E21939" w:rsidRDefault="00CA3C6A">
            <w:pPr>
              <w:widowControl/>
              <w:jc w:val="left"/>
              <w:rPr>
                <w:rFonts w:ascii="宋体" w:cs="宋体"/>
                <w:kern w:val="0"/>
                <w:sz w:val="24"/>
                <w:szCs w:val="24"/>
              </w:rPr>
            </w:pPr>
            <w:r>
              <w:rPr>
                <w:rFonts w:ascii="宋体" w:cs="宋体" w:hint="eastAsia"/>
                <w:kern w:val="0"/>
                <w:sz w:val="24"/>
                <w:szCs w:val="24"/>
              </w:rPr>
              <w:t>0</w:t>
            </w:r>
          </w:p>
        </w:tc>
      </w:tr>
    </w:tbl>
    <w:p w:rsidR="00E21939" w:rsidRDefault="00CA3C6A">
      <w:pPr>
        <w:spacing w:line="600" w:lineRule="exact"/>
        <w:ind w:firstLineChars="200" w:firstLine="640"/>
        <w:jc w:val="left"/>
        <w:rPr>
          <w:rFonts w:ascii="黑体" w:eastAsia="黑体" w:hAnsi="黑体" w:cs="黑体"/>
          <w:sz w:val="32"/>
          <w:szCs w:val="32"/>
        </w:rPr>
      </w:pPr>
      <w:r>
        <w:rPr>
          <w:rFonts w:ascii="黑体" w:eastAsia="黑体" w:hAnsi="黑体" w:cs="黑体"/>
          <w:sz w:val="32"/>
          <w:szCs w:val="32"/>
        </w:rPr>
        <w:t>五、</w:t>
      </w:r>
      <w:r>
        <w:rPr>
          <w:rFonts w:ascii="黑体" w:eastAsia="黑体" w:hAnsi="黑体" w:cs="黑体" w:hint="eastAsia"/>
          <w:sz w:val="32"/>
          <w:szCs w:val="32"/>
        </w:rPr>
        <w:t>存在的主要问题及改进情况</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在今后的工作中，我们要加强宣传，利用各种渠道，大</w:t>
      </w:r>
      <w:r>
        <w:rPr>
          <w:rFonts w:ascii="仿宋_GB2312" w:eastAsia="仿宋_GB2312" w:hAnsi="仿宋_GB2312" w:cs="仿宋_GB2312" w:hint="eastAsia"/>
          <w:sz w:val="32"/>
          <w:szCs w:val="32"/>
        </w:rPr>
        <w:lastRenderedPageBreak/>
        <w:t>力宣传普及食品、药品、农</w:t>
      </w:r>
      <w:r>
        <w:rPr>
          <w:rFonts w:ascii="仿宋_GB2312" w:eastAsia="仿宋_GB2312" w:hAnsi="仿宋_GB2312" w:cs="仿宋_GB2312" w:hint="eastAsia"/>
          <w:color w:val="000000" w:themeColor="text1"/>
          <w:sz w:val="32"/>
          <w:szCs w:val="32"/>
        </w:rPr>
        <w:t>产品检验检测有关法律法规政策、业务、信息，在2022年目标印发宣传资料1万份、简报50期</w:t>
      </w:r>
      <w:r>
        <w:rPr>
          <w:rFonts w:ascii="仿宋_GB2312" w:eastAsia="仿宋_GB2312" w:hAnsi="仿宋_GB2312" w:cs="仿宋_GB2312" w:hint="eastAsia"/>
          <w:sz w:val="32"/>
          <w:szCs w:val="32"/>
        </w:rPr>
        <w:t>，利用“3·15消费者权益保护日”、“食品安全周”、“宪法宣传日”等契机搞好普法宣传工作，确保国家相关法律政策被群众熟知。</w:t>
      </w:r>
    </w:p>
    <w:p w:rsidR="00E21939" w:rsidRDefault="00CA3C6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同时，在加强宣传的基础上，我们将继续做好本职工作，</w:t>
      </w:r>
      <w:r>
        <w:rPr>
          <w:rFonts w:ascii="仿宋_GB2312" w:eastAsia="仿宋_GB2312" w:hAnsi="仿宋_GB2312" w:cs="仿宋_GB2312"/>
          <w:sz w:val="32"/>
          <w:szCs w:val="32"/>
        </w:rPr>
        <w:t>全面开展食用农产品</w:t>
      </w:r>
      <w:r>
        <w:rPr>
          <w:rFonts w:ascii="仿宋_GB2312" w:eastAsia="仿宋_GB2312" w:hAnsi="仿宋_GB2312" w:cs="仿宋_GB2312" w:hint="eastAsia"/>
          <w:sz w:val="32"/>
          <w:szCs w:val="32"/>
        </w:rPr>
        <w:t>农兽药残留及功能项</w:t>
      </w:r>
      <w:bookmarkStart w:id="0" w:name="_GoBack"/>
      <w:bookmarkEnd w:id="0"/>
      <w:r>
        <w:rPr>
          <w:rFonts w:ascii="仿宋_GB2312" w:eastAsia="仿宋_GB2312" w:hAnsi="仿宋_GB2312" w:cs="仿宋_GB2312" w:hint="eastAsia"/>
          <w:sz w:val="32"/>
          <w:szCs w:val="32"/>
        </w:rPr>
        <w:t>目</w:t>
      </w:r>
      <w:r>
        <w:rPr>
          <w:rFonts w:ascii="仿宋_GB2312" w:eastAsia="仿宋_GB2312" w:hAnsi="仿宋_GB2312" w:cs="仿宋_GB2312"/>
          <w:sz w:val="32"/>
          <w:szCs w:val="32"/>
        </w:rPr>
        <w:t>检测业务，加快检验检测机构资质认定工作进度，完善各类档案资料，完善管理体系运行，尽快完成所申请项目的实验方法验证工作，争取按计划完成资质认定工作，早日为社会开展检验检测服务。</w:t>
      </w:r>
    </w:p>
    <w:p w:rsidR="00E21939" w:rsidRDefault="00CA3C6A">
      <w:pPr>
        <w:spacing w:line="600" w:lineRule="exact"/>
        <w:ind w:firstLineChars="200" w:firstLine="640"/>
        <w:jc w:val="left"/>
        <w:rPr>
          <w:rFonts w:ascii="黑体" w:eastAsia="黑体" w:hAnsi="黑体" w:cs="黑体"/>
          <w:sz w:val="32"/>
          <w:szCs w:val="32"/>
        </w:rPr>
      </w:pPr>
      <w:r>
        <w:rPr>
          <w:rFonts w:ascii="黑体" w:eastAsia="黑体" w:hAnsi="黑体" w:cs="黑体"/>
          <w:sz w:val="32"/>
          <w:szCs w:val="32"/>
        </w:rPr>
        <w:t>六、</w:t>
      </w:r>
      <w:r>
        <w:rPr>
          <w:rFonts w:ascii="黑体" w:eastAsia="黑体" w:hAnsi="黑体" w:cs="黑体" w:hint="eastAsia"/>
          <w:sz w:val="32"/>
          <w:szCs w:val="32"/>
        </w:rPr>
        <w:t>其他需要报告的事项</w:t>
      </w:r>
    </w:p>
    <w:p w:rsidR="00E21939" w:rsidRDefault="00CA3C6A" w:rsidP="0064617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E21939" w:rsidRDefault="00E21939">
      <w:pPr>
        <w:spacing w:line="600" w:lineRule="exact"/>
      </w:pPr>
    </w:p>
    <w:sectPr w:rsidR="00E21939" w:rsidSect="00E219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C8" w:rsidRDefault="004664C8" w:rsidP="00E21939">
      <w:r>
        <w:separator/>
      </w:r>
    </w:p>
  </w:endnote>
  <w:endnote w:type="continuationSeparator" w:id="0">
    <w:p w:rsidR="004664C8" w:rsidRDefault="004664C8" w:rsidP="00E219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Noto Sans CJK SC"/>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Noto Sans CJK SC"/>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939" w:rsidRDefault="00205A0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filled="f" stroked="f">
          <v:textbox style="mso-fit-shape-to-text:t" inset="0,0,0,0">
            <w:txbxContent>
              <w:p w:rsidR="00E21939" w:rsidRDefault="00205A08">
                <w:pPr>
                  <w:pStyle w:val="a3"/>
                </w:pPr>
                <w:r>
                  <w:rPr>
                    <w:rFonts w:hint="eastAsia"/>
                  </w:rPr>
                  <w:fldChar w:fldCharType="begin"/>
                </w:r>
                <w:r w:rsidR="00CA3C6A">
                  <w:rPr>
                    <w:rFonts w:hint="eastAsia"/>
                  </w:rPr>
                  <w:instrText xml:space="preserve"> PAGE  \* MERGEFORMAT </w:instrText>
                </w:r>
                <w:r>
                  <w:rPr>
                    <w:rFonts w:hint="eastAsia"/>
                  </w:rPr>
                  <w:fldChar w:fldCharType="separate"/>
                </w:r>
                <w:r w:rsidR="00BD148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C8" w:rsidRDefault="004664C8" w:rsidP="00E21939">
      <w:r>
        <w:separator/>
      </w:r>
    </w:p>
  </w:footnote>
  <w:footnote w:type="continuationSeparator" w:id="0">
    <w:p w:rsidR="004664C8" w:rsidRDefault="004664C8" w:rsidP="00E219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939"/>
    <w:rsid w:val="00205A08"/>
    <w:rsid w:val="004664C8"/>
    <w:rsid w:val="0064617A"/>
    <w:rsid w:val="00BD1487"/>
    <w:rsid w:val="00CA3C6A"/>
    <w:rsid w:val="00E21939"/>
    <w:rsid w:val="04CB6271"/>
    <w:rsid w:val="06744E79"/>
    <w:rsid w:val="1AE708E8"/>
    <w:rsid w:val="4C8E694C"/>
    <w:rsid w:val="56254392"/>
    <w:rsid w:val="5F07473F"/>
    <w:rsid w:val="613B41E8"/>
    <w:rsid w:val="62E95123"/>
    <w:rsid w:val="69A34019"/>
    <w:rsid w:val="6A391A3B"/>
    <w:rsid w:val="BFFFC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rsid w:val="00E21939"/>
    <w:pPr>
      <w:widowControl w:val="0"/>
      <w:jc w:val="both"/>
    </w:pPr>
    <w:rPr>
      <w:rFonts w:ascii="Calibri" w:eastAsia="宋体" w:hAnsi="Calibri" w:cs="Times New Roman"/>
      <w:kern w:val="2"/>
      <w:sz w:val="21"/>
      <w:szCs w:val="22"/>
    </w:rPr>
  </w:style>
  <w:style w:type="paragraph" w:styleId="2">
    <w:name w:val="heading 2"/>
    <w:basedOn w:val="a"/>
    <w:next w:val="a"/>
    <w:semiHidden/>
    <w:unhideWhenUsed/>
    <w:qFormat/>
    <w:rsid w:val="00E21939"/>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rsid w:val="00E21939"/>
    <w:pPr>
      <w:widowControl w:val="0"/>
      <w:jc w:val="both"/>
    </w:pPr>
    <w:rPr>
      <w:rFonts w:ascii="仿宋" w:eastAsia="仿宋" w:hAnsi="仿宋" w:cs="Times New Roman"/>
      <w:kern w:val="2"/>
      <w:sz w:val="21"/>
      <w:szCs w:val="22"/>
    </w:rPr>
  </w:style>
  <w:style w:type="paragraph" w:styleId="a3">
    <w:name w:val="footer"/>
    <w:basedOn w:val="a"/>
    <w:uiPriority w:val="99"/>
    <w:semiHidden/>
    <w:unhideWhenUsed/>
    <w:qFormat/>
    <w:rsid w:val="00E21939"/>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2022-02-23T10:05:00Z</cp:lastPrinted>
  <dcterms:created xsi:type="dcterms:W3CDTF">2022-02-23T09:13:00Z</dcterms:created>
  <dcterms:modified xsi:type="dcterms:W3CDTF">2023-03-21T08:39:00Z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707A7B08EF554CEB848DE2130F997683</vt:lpwstr>
  </property>
</Properties>
</file>