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80" w:lineRule="exact"/>
        <w:jc w:val="center"/>
        <w:rPr>
          <w:rFonts w:hint="default" w:ascii="方正小标宋简体" w:hAnsi="方正小标宋简体" w:eastAsia="方正小标宋简体" w:cs="方正小标宋简体"/>
          <w:b w:val="0"/>
          <w:bCs w:val="0"/>
          <w:sz w:val="44"/>
          <w:szCs w:val="44"/>
          <w:shd w:val="clear" w:color="auto" w:fill="FFFFFF"/>
        </w:rPr>
      </w:pPr>
      <w:r>
        <w:rPr>
          <w:rFonts w:ascii="方正小标宋简体" w:hAnsi="方正小标宋简体" w:eastAsia="方正小标宋简体" w:cs="方正小标宋简体"/>
          <w:b w:val="0"/>
          <w:bCs w:val="0"/>
          <w:sz w:val="44"/>
          <w:szCs w:val="44"/>
          <w:shd w:val="clear" w:color="auto" w:fill="FFFFFF"/>
        </w:rPr>
        <w:t>尧都区自然资源局</w:t>
      </w:r>
    </w:p>
    <w:p>
      <w:pPr>
        <w:pStyle w:val="2"/>
        <w:widowControl/>
        <w:shd w:val="clear" w:color="auto" w:fill="FFFFFF"/>
        <w:spacing w:beforeAutospacing="0" w:afterAutospacing="0" w:line="580" w:lineRule="exac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b w:val="0"/>
          <w:bCs w:val="0"/>
          <w:sz w:val="44"/>
          <w:szCs w:val="44"/>
          <w:shd w:val="clear" w:color="auto" w:fill="FFFFFF"/>
        </w:rPr>
        <w:t>2021年政府信息公开工作年度报告</w:t>
      </w:r>
    </w:p>
    <w:p>
      <w:pPr>
        <w:pStyle w:val="3"/>
        <w:widowControl/>
        <w:spacing w:beforeAutospacing="0" w:afterAutospacing="0" w:line="580" w:lineRule="exact"/>
        <w:ind w:firstLine="640" w:firstLineChars="200"/>
        <w:jc w:val="both"/>
        <w:rPr>
          <w:rFonts w:ascii="黑体" w:hAnsi="黑体" w:eastAsia="黑体" w:cs="黑体"/>
          <w:sz w:val="32"/>
          <w:szCs w:val="32"/>
          <w:shd w:val="clear" w:color="auto" w:fill="FFFFFF"/>
        </w:rPr>
      </w:pPr>
    </w:p>
    <w:p>
      <w:pPr>
        <w:pStyle w:val="3"/>
        <w:widowControl/>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一、总体情况</w:t>
      </w:r>
    </w:p>
    <w:p>
      <w:pPr>
        <w:pStyle w:val="3"/>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2021年，尧都区自然资源局始终坚持以习近平新时代中国特色社会主义思想为指引，认真贯彻落实《中华人民共和国政府信息公开条例》以及区政府有关文件精神，强化组织领导，完善工作制度，围绕区自然资源管理工作中心，全面、及时、准确将自然资源工作动态、法律法规、公告公示等向社会公开，进一步加强和改进了机关工作作风，提升了机关效能建设。</w:t>
      </w:r>
    </w:p>
    <w:p>
      <w:pPr>
        <w:pStyle w:val="3"/>
        <w:widowControl/>
        <w:spacing w:beforeAutospacing="0" w:afterAutospacing="0" w:line="580" w:lineRule="exact"/>
        <w:ind w:firstLine="642"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shd w:val="clear" w:color="auto" w:fill="FFFFFF"/>
        </w:rPr>
        <w:t>（一）主动公开情况</w:t>
      </w:r>
    </w:p>
    <w:p>
      <w:pPr>
        <w:widowControl/>
        <w:shd w:val="clear" w:color="auto" w:fill="FFFFFF"/>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2021年度，我局共主动公开各类政府信息151 条。在省自然资源厅门户网站公开34条，在市局门户网站主动公开54条，区政府网站公开63条，全面准确反映了全区自然资源工作的总体情况。</w:t>
      </w:r>
    </w:p>
    <w:p>
      <w:pPr>
        <w:pStyle w:val="3"/>
        <w:widowControl/>
        <w:spacing w:beforeAutospacing="0" w:afterAutospacing="0" w:line="580" w:lineRule="exact"/>
        <w:ind w:firstLine="642" w:firstLineChars="200"/>
        <w:jc w:val="both"/>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（二）依申请公开情况</w:t>
      </w:r>
    </w:p>
    <w:p>
      <w:pPr>
        <w:widowControl/>
        <w:shd w:val="clear" w:color="auto" w:fill="FFFFFF"/>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2021年度，我局收到公民提出政府信息公开申请4件。4件申请公开的内容为：关于陈宝宁、陈国辉征地信息、关于临汾市云跃环保建材有限公司征地信息、关于屯里镇秦泽民征地信息、关于西关北园片区（古城公园二期）征地信息。对该四项申请，我局及时进行了办理，对应予公开的登记结果信息，向申请人及时予以了公开。</w:t>
      </w:r>
    </w:p>
    <w:p>
      <w:pPr>
        <w:pStyle w:val="3"/>
        <w:widowControl/>
        <w:spacing w:beforeAutospacing="0" w:afterAutospacing="0" w:line="580" w:lineRule="exact"/>
        <w:ind w:firstLine="642" w:firstLineChars="200"/>
        <w:jc w:val="both"/>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（三）平台建设情况</w:t>
      </w:r>
    </w:p>
    <w:p>
      <w:pPr>
        <w:pStyle w:val="3"/>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2021年，我局政务新媒体发布主要依托临汾市规划和自然资源局网站、微博、微信公众号以及尧都区政府网站进行发布。</w:t>
      </w:r>
    </w:p>
    <w:p>
      <w:pPr>
        <w:pStyle w:val="3"/>
        <w:widowControl/>
        <w:spacing w:beforeAutospacing="0" w:afterAutospacing="0" w:line="580" w:lineRule="exact"/>
        <w:ind w:firstLine="642" w:firstLineChars="200"/>
        <w:jc w:val="both"/>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（四）监督保障情况</w:t>
      </w:r>
    </w:p>
    <w:p>
      <w:pPr>
        <w:widowControl/>
        <w:shd w:val="clear" w:color="auto" w:fill="FFFFFF"/>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我局高度重视政务公开工作，把此项工作列入了重要议程。机构改革后，及时调整了由局负责人任组长，局班子其他领导为副组长，行政、业务股室负责人为成员的政务公开工作领导小组，并明确具体经办人员。构建了由局主要领导亲自抓，分管领导具体抓，各行政、业务股室负责人为第一责任人的组织体系，形成了齐抓共管、纵横结合、协调一致的工作格局。</w:t>
      </w:r>
    </w:p>
    <w:p>
      <w:pPr>
        <w:pStyle w:val="3"/>
        <w:widowControl/>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二、主动公开政府信息情况</w:t>
      </w:r>
    </w:p>
    <w:tbl>
      <w:tblPr>
        <w:tblStyle w:val="4"/>
        <w:tblW w:w="9735" w:type="dxa"/>
        <w:tblInd w:w="0" w:type="dxa"/>
        <w:tblLayout w:type="autofit"/>
        <w:tblCellMar>
          <w:top w:w="15" w:type="dxa"/>
          <w:left w:w="15" w:type="dxa"/>
          <w:bottom w:w="15" w:type="dxa"/>
          <w:right w:w="15" w:type="dxa"/>
        </w:tblCellMar>
      </w:tblPr>
      <w:tblGrid>
        <w:gridCol w:w="2430"/>
        <w:gridCol w:w="2430"/>
        <w:gridCol w:w="2430"/>
        <w:gridCol w:w="2445"/>
      </w:tblGrid>
      <w:tr>
        <w:tblPrEx>
          <w:tblCellMar>
            <w:top w:w="15" w:type="dxa"/>
            <w:left w:w="15" w:type="dxa"/>
            <w:bottom w:w="15" w:type="dxa"/>
            <w:right w:w="15" w:type="dxa"/>
          </w:tblCellMar>
        </w:tblPrEx>
        <w:trPr>
          <w:trHeight w:val="345" w:hRule="atLeast"/>
        </w:trPr>
        <w:tc>
          <w:tcPr>
            <w:tcW w:w="9735"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第二十条第（一）项</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信息内容</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本年制发件数</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本年废止件数</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现行有效件数</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规章</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行政规范性文件</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rPr>
          <w:trHeight w:val="345" w:hRule="atLeast"/>
        </w:trPr>
        <w:tc>
          <w:tcPr>
            <w:tcW w:w="9735"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第二十条第（五）项</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本年处理决定数量</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行政许可</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63</w:t>
            </w:r>
          </w:p>
        </w:tc>
      </w:tr>
      <w:tr>
        <w:tblPrEx>
          <w:tblCellMar>
            <w:top w:w="15" w:type="dxa"/>
            <w:left w:w="15" w:type="dxa"/>
            <w:bottom w:w="15" w:type="dxa"/>
            <w:right w:w="15" w:type="dxa"/>
          </w:tblCellMar>
        </w:tblPrEx>
        <w:trPr>
          <w:trHeight w:val="345" w:hRule="atLeast"/>
        </w:trPr>
        <w:tc>
          <w:tcPr>
            <w:tcW w:w="9735"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第二十条第（六）项</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本年处理决定数量</w:t>
            </w:r>
          </w:p>
        </w:tc>
      </w:tr>
      <w:tr>
        <w:tblPrEx>
          <w:tblCellMar>
            <w:top w:w="15" w:type="dxa"/>
            <w:left w:w="15" w:type="dxa"/>
            <w:bottom w:w="15" w:type="dxa"/>
            <w:right w:w="15" w:type="dxa"/>
          </w:tblCellMar>
        </w:tblPrEx>
        <w:trPr>
          <w:trHeight w:val="356"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行政处罚</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hint="default" w:ascii="仿宋_GB2312" w:hAnsi="仿宋_GB2312" w:eastAsia="仿宋_GB2312" w:cs="仿宋_GB2312"/>
              </w:rPr>
            </w:pPr>
            <w:r>
              <w:rPr>
                <w:rFonts w:hint="default" w:ascii="仿宋_GB2312" w:hAnsi="仿宋_GB2312" w:eastAsia="仿宋_GB2312" w:cs="仿宋_GB2312"/>
              </w:rPr>
              <w:t>0</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行政强制</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hint="default" w:ascii="仿宋_GB2312" w:hAnsi="仿宋_GB2312" w:eastAsia="仿宋_GB2312" w:cs="仿宋_GB2312"/>
              </w:rPr>
            </w:pPr>
            <w:r>
              <w:rPr>
                <w:rFonts w:hint="default" w:ascii="仿宋_GB2312" w:hAnsi="仿宋_GB2312" w:eastAsia="仿宋_GB2312" w:cs="仿宋_GB2312"/>
              </w:rPr>
              <w:t>0</w:t>
            </w:r>
          </w:p>
        </w:tc>
      </w:tr>
      <w:tr>
        <w:tblPrEx>
          <w:tblCellMar>
            <w:top w:w="15" w:type="dxa"/>
            <w:left w:w="15" w:type="dxa"/>
            <w:bottom w:w="15" w:type="dxa"/>
            <w:right w:w="15" w:type="dxa"/>
          </w:tblCellMar>
        </w:tblPrEx>
        <w:trPr>
          <w:trHeight w:val="345" w:hRule="atLeast"/>
        </w:trPr>
        <w:tc>
          <w:tcPr>
            <w:tcW w:w="9735"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第二十条第（八）项</w:t>
            </w:r>
            <w:bookmarkStart w:id="0" w:name="_GoBack"/>
            <w:bookmarkEnd w:id="0"/>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本年收费金额（单位：万元）</w:t>
            </w:r>
          </w:p>
        </w:tc>
      </w:tr>
      <w:tr>
        <w:tblPrEx>
          <w:tblCellMar>
            <w:top w:w="15" w:type="dxa"/>
            <w:left w:w="15" w:type="dxa"/>
            <w:bottom w:w="15" w:type="dxa"/>
            <w:right w:w="15" w:type="dxa"/>
          </w:tblCellMar>
        </w:tblPrEx>
        <w:trPr>
          <w:trHeight w:val="345" w:hRule="atLeast"/>
        </w:trPr>
        <w:tc>
          <w:tcPr>
            <w:tcW w:w="243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行政事业性收费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7917.68</w:t>
            </w:r>
          </w:p>
        </w:tc>
      </w:tr>
    </w:tbl>
    <w:p>
      <w:pPr>
        <w:pStyle w:val="3"/>
        <w:widowControl/>
        <w:spacing w:beforeAutospacing="0" w:afterAutospacing="0" w:line="580" w:lineRule="exact"/>
        <w:ind w:firstLine="640" w:firstLineChars="200"/>
        <w:rPr>
          <w:rFonts w:ascii="黑体" w:hAnsi="黑体" w:eastAsia="黑体" w:cs="黑体"/>
          <w:sz w:val="32"/>
          <w:szCs w:val="32"/>
        </w:rPr>
      </w:pPr>
      <w:r>
        <w:rPr>
          <w:rFonts w:hint="eastAsia" w:ascii="黑体" w:hAnsi="黑体" w:eastAsia="黑体" w:cs="黑体"/>
          <w:sz w:val="32"/>
          <w:szCs w:val="32"/>
          <w:shd w:val="clear" w:color="auto" w:fill="FFFFFF"/>
        </w:rPr>
        <w:t>三、收到和处理政府信息公开申请情况</w:t>
      </w:r>
    </w:p>
    <w:p>
      <w:pPr>
        <w:pStyle w:val="3"/>
        <w:widowControl/>
        <w:spacing w:beforeAutospacing="0" w:after="300" w:afterAutospacing="0" w:line="30" w:lineRule="atLeast"/>
        <w:jc w:val="both"/>
        <w:rPr>
          <w:rFonts w:ascii="黑体" w:hAnsi="黑体" w:eastAsia="仿宋_GB2312" w:cs="黑体"/>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tbl>
      <w:tblPr>
        <w:tblStyle w:val="4"/>
        <w:tblpPr w:leftFromText="180" w:rightFromText="180" w:vertAnchor="text" w:horzAnchor="page" w:tblpX="877" w:tblpY="-13485"/>
        <w:tblOverlap w:val="never"/>
        <w:tblW w:w="10695" w:type="dxa"/>
        <w:tblInd w:w="0" w:type="dxa"/>
        <w:tblLayout w:type="fixed"/>
        <w:tblCellMar>
          <w:top w:w="15" w:type="dxa"/>
          <w:left w:w="15" w:type="dxa"/>
          <w:bottom w:w="15" w:type="dxa"/>
          <w:right w:w="15" w:type="dxa"/>
        </w:tblCellMar>
      </w:tblPr>
      <w:tblGrid>
        <w:gridCol w:w="1615"/>
        <w:gridCol w:w="944"/>
        <w:gridCol w:w="3321"/>
        <w:gridCol w:w="480"/>
        <w:gridCol w:w="589"/>
        <w:gridCol w:w="690"/>
        <w:gridCol w:w="896"/>
        <w:gridCol w:w="765"/>
        <w:gridCol w:w="195"/>
        <w:gridCol w:w="450"/>
        <w:gridCol w:w="750"/>
      </w:tblGrid>
      <w:tr>
        <w:tblPrEx>
          <w:tblCellMar>
            <w:top w:w="15" w:type="dxa"/>
            <w:left w:w="15" w:type="dxa"/>
            <w:bottom w:w="15" w:type="dxa"/>
            <w:right w:w="15" w:type="dxa"/>
          </w:tblCellMar>
        </w:tblPrEx>
        <w:tc>
          <w:tcPr>
            <w:tcW w:w="5880" w:type="dxa"/>
            <w:gridSpan w:val="3"/>
            <w:vMerge w:val="restart"/>
            <w:tcBorders>
              <w:top w:val="single" w:color="000000" w:sz="6" w:space="0"/>
              <w:left w:val="single" w:color="000000" w:sz="6" w:space="0"/>
              <w:bottom w:val="inset"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815" w:type="dxa"/>
            <w:gridSpan w:val="8"/>
            <w:tcBorders>
              <w:top w:val="single" w:color="000000" w:sz="6" w:space="0"/>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申请人情况</w:t>
            </w:r>
          </w:p>
        </w:tc>
      </w:tr>
      <w:tr>
        <w:tblPrEx>
          <w:tblCellMar>
            <w:top w:w="15" w:type="dxa"/>
            <w:left w:w="15" w:type="dxa"/>
            <w:bottom w:w="15" w:type="dxa"/>
            <w:right w:w="15" w:type="dxa"/>
          </w:tblCellMar>
        </w:tblPrEx>
        <w:tc>
          <w:tcPr>
            <w:tcW w:w="5880" w:type="dxa"/>
            <w:gridSpan w:val="3"/>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105" w:type="dxa"/>
              <w:bottom w:w="0" w:type="dxa"/>
              <w:right w:w="105" w:type="dxa"/>
            </w:tcMar>
            <w:vAlign w:val="center"/>
          </w:tcPr>
          <w:p>
            <w:pPr>
              <w:jc w:val="center"/>
              <w:rPr>
                <w:rFonts w:ascii="仿宋_GB2312" w:hAnsi="仿宋_GB2312" w:eastAsia="仿宋_GB2312" w:cs="仿宋_GB2312"/>
                <w:sz w:val="24"/>
              </w:rPr>
            </w:pPr>
          </w:p>
        </w:tc>
        <w:tc>
          <w:tcPr>
            <w:tcW w:w="48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自然人</w:t>
            </w:r>
          </w:p>
        </w:tc>
        <w:tc>
          <w:tcPr>
            <w:tcW w:w="3585"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法人或其他组织</w:t>
            </w:r>
          </w:p>
        </w:tc>
        <w:tc>
          <w:tcPr>
            <w:tcW w:w="750" w:type="dxa"/>
            <w:vMerge w:val="restart"/>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总计</w:t>
            </w:r>
          </w:p>
        </w:tc>
      </w:tr>
      <w:tr>
        <w:tblPrEx>
          <w:tblCellMar>
            <w:top w:w="15" w:type="dxa"/>
            <w:left w:w="15" w:type="dxa"/>
            <w:bottom w:w="15" w:type="dxa"/>
            <w:right w:w="15" w:type="dxa"/>
          </w:tblCellMar>
        </w:tblPrEx>
        <w:trPr>
          <w:trHeight w:val="461" w:hRule="atLeast"/>
        </w:trPr>
        <w:tc>
          <w:tcPr>
            <w:tcW w:w="5880" w:type="dxa"/>
            <w:gridSpan w:val="3"/>
            <w:vMerge w:val="continue"/>
            <w:tcBorders>
              <w:top w:val="single" w:color="000000" w:sz="6" w:space="0"/>
              <w:left w:val="single" w:color="000000" w:sz="6" w:space="0"/>
              <w:bottom w:val="single" w:color="auto" w:sz="4" w:space="0"/>
              <w:right w:val="single" w:color="000000" w:sz="6" w:space="0"/>
            </w:tcBorders>
            <w:shd w:val="clear" w:color="auto" w:fill="auto"/>
            <w:tcMar>
              <w:top w:w="0" w:type="dxa"/>
              <w:left w:w="105" w:type="dxa"/>
              <w:bottom w:w="0" w:type="dxa"/>
              <w:right w:w="105" w:type="dxa"/>
            </w:tcMar>
            <w:vAlign w:val="center"/>
          </w:tcPr>
          <w:p>
            <w:pPr>
              <w:jc w:val="center"/>
              <w:rPr>
                <w:rFonts w:ascii="仿宋_GB2312" w:hAnsi="仿宋_GB2312" w:eastAsia="仿宋_GB2312" w:cs="仿宋_GB2312"/>
                <w:sz w:val="24"/>
              </w:rPr>
            </w:pPr>
          </w:p>
        </w:tc>
        <w:tc>
          <w:tcPr>
            <w:tcW w:w="48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589"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商业</w:t>
            </w:r>
          </w:p>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企业</w:t>
            </w:r>
          </w:p>
        </w:tc>
        <w:tc>
          <w:tcPr>
            <w:tcW w:w="690"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科研</w:t>
            </w:r>
          </w:p>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机构</w:t>
            </w:r>
          </w:p>
        </w:tc>
        <w:tc>
          <w:tcPr>
            <w:tcW w:w="896"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社会公益组织</w:t>
            </w:r>
          </w:p>
        </w:tc>
        <w:tc>
          <w:tcPr>
            <w:tcW w:w="96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法律服务机构</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其他</w:t>
            </w:r>
          </w:p>
        </w:tc>
        <w:tc>
          <w:tcPr>
            <w:tcW w:w="750"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r>
      <w:tr>
        <w:tblPrEx>
          <w:tblCellMar>
            <w:top w:w="15" w:type="dxa"/>
            <w:left w:w="15" w:type="dxa"/>
            <w:bottom w:w="15" w:type="dxa"/>
            <w:right w:w="15" w:type="dxa"/>
          </w:tblCellMar>
        </w:tblPrEx>
        <w:tc>
          <w:tcPr>
            <w:tcW w:w="58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一、本年新收政府信息公开申请数量</w:t>
            </w:r>
          </w:p>
        </w:tc>
        <w:tc>
          <w:tcPr>
            <w:tcW w:w="480" w:type="dxa"/>
            <w:tcBorders>
              <w:top w:val="nil"/>
              <w:left w:val="single" w:color="auto" w:sz="4"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4</w:t>
            </w:r>
          </w:p>
        </w:tc>
      </w:tr>
      <w:tr>
        <w:tblPrEx>
          <w:tblCellMar>
            <w:top w:w="15" w:type="dxa"/>
            <w:left w:w="15" w:type="dxa"/>
            <w:bottom w:w="15" w:type="dxa"/>
            <w:right w:w="15" w:type="dxa"/>
          </w:tblCellMar>
        </w:tblPrEx>
        <w:tc>
          <w:tcPr>
            <w:tcW w:w="58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二、上年结转政府信息公开申请数量</w:t>
            </w:r>
          </w:p>
        </w:tc>
        <w:tc>
          <w:tcPr>
            <w:tcW w:w="480" w:type="dxa"/>
            <w:tcBorders>
              <w:top w:val="nil"/>
              <w:left w:val="single" w:color="auto" w:sz="4"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restart"/>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三、本年度办理结果</w:t>
            </w:r>
          </w:p>
        </w:tc>
        <w:tc>
          <w:tcPr>
            <w:tcW w:w="4265" w:type="dxa"/>
            <w:gridSpan w:val="2"/>
            <w:tcBorders>
              <w:top w:val="single" w:color="auto" w:sz="4" w:space="0"/>
              <w:left w:val="nil"/>
              <w:bottom w:val="single" w:color="auto" w:sz="4" w:space="0"/>
              <w:right w:val="single" w:color="000000" w:sz="6" w:space="0"/>
            </w:tcBorders>
            <w:shd w:val="clear" w:color="auto" w:fill="auto"/>
            <w:tcMar>
              <w:top w:w="0" w:type="dxa"/>
              <w:left w:w="0" w:type="dxa"/>
              <w:bottom w:w="0" w:type="dxa"/>
              <w:right w:w="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（一）予以公开</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000000" w:sz="6" w:space="0"/>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4</w:t>
            </w:r>
          </w:p>
        </w:tc>
      </w:tr>
      <w:tr>
        <w:tblPrEx>
          <w:tblCellMar>
            <w:top w:w="15" w:type="dxa"/>
            <w:left w:w="15" w:type="dxa"/>
            <w:bottom w:w="15" w:type="dxa"/>
            <w:right w:w="15" w:type="dxa"/>
          </w:tblCellMar>
        </w:tblPrEx>
        <w:tc>
          <w:tcPr>
            <w:tcW w:w="1615" w:type="dxa"/>
            <w:vMerge w:val="continue"/>
            <w:tcBorders>
              <w:top w:val="single" w:color="auto" w:sz="4"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4265" w:type="dxa"/>
            <w:gridSpan w:val="2"/>
            <w:tcBorders>
              <w:top w:val="single" w:color="auto" w:sz="4"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（二）部分公开（区分处理的，只计这一情形，不计其他情形）</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restart"/>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（三）不予公开</w:t>
            </w: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1.属于国家秘密</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000000" w:sz="6" w:space="0"/>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2.其他法律行政法规禁止公开</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3.危及“三安全一稳定”</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4.保护第三方合法权益</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5.属于三类内部事务信息</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6.属于四类过程性信息</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7.属于行政执法案卷</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8.属于行政查询事项</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restart"/>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（四）无法提供</w:t>
            </w: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1.本机关不掌握相关政府信息</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2.没有现成信息需要另行制作</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3.补正后申请内容仍不明确</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restart"/>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（五）不予处理</w:t>
            </w: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1.信访举报投诉类申请</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2.重复申请</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3.要求提供公开出版物</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000000" w:sz="6" w:space="0"/>
              <w:left w:val="single" w:color="auto" w:sz="4" w:space="0"/>
              <w:bottom w:val="inset" w:color="000000" w:sz="6"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inset" w:color="000000" w:sz="6"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4.无正当理由大量反复申请</w:t>
            </w:r>
          </w:p>
        </w:tc>
        <w:tc>
          <w:tcPr>
            <w:tcW w:w="48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nil"/>
              <w:left w:val="nil"/>
              <w:bottom w:val="single" w:color="000000" w:sz="6"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rPr>
          <w:trHeight w:val="780" w:hRule="atLeast"/>
        </w:trPr>
        <w:tc>
          <w:tcPr>
            <w:tcW w:w="1615" w:type="dxa"/>
            <w:vMerge w:val="continue"/>
            <w:tcBorders>
              <w:top w:val="single" w:color="000000" w:sz="6"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480" w:type="dxa"/>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000000" w:sz="6" w:space="0"/>
              <w:left w:val="single" w:color="000000" w:sz="6" w:space="0"/>
              <w:bottom w:val="single" w:color="auto" w:sz="4" w:space="0"/>
              <w:right w:val="single" w:color="000000" w:sz="6" w:space="0"/>
            </w:tcBorders>
            <w:shd w:val="clear" w:color="auto" w:fill="auto"/>
            <w:tcMar>
              <w:top w:w="0" w:type="dxa"/>
              <w:left w:w="60" w:type="dxa"/>
              <w:bottom w:w="0" w:type="dxa"/>
              <w:right w:w="60" w:type="dxa"/>
            </w:tcMar>
            <w:vAlign w:val="center"/>
          </w:tcPr>
          <w:p>
            <w:pPr>
              <w:pStyle w:val="3"/>
              <w:widowControl/>
              <w:spacing w:beforeAutospacing="0" w:afterAutospacing="0"/>
              <w:ind w:firstLine="240" w:firstLineChars="100"/>
              <w:jc w:val="both"/>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（六）其他处理</w:t>
            </w:r>
          </w:p>
        </w:tc>
        <w:tc>
          <w:tcPr>
            <w:tcW w:w="3321"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ind w:firstLine="240" w:firstLineChars="100"/>
              <w:jc w:val="both"/>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2.申请人逾期未按收费通知要求缴纳费用、行政机关不再处理其政府信息公开申请</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ind w:firstLine="240" w:firstLineChars="100"/>
              <w:jc w:val="both"/>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jc w:val="center"/>
              <w:rPr>
                <w:rFonts w:ascii="仿宋_GB2312" w:hAnsi="仿宋_GB2312" w:eastAsia="仿宋_GB2312" w:cs="仿宋_GB2312"/>
                <w:sz w:val="24"/>
              </w:rPr>
            </w:pPr>
          </w:p>
        </w:tc>
        <w:tc>
          <w:tcPr>
            <w:tcW w:w="3321"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3.其他</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r>
      <w:tr>
        <w:tblPrEx>
          <w:tblCellMar>
            <w:top w:w="15" w:type="dxa"/>
            <w:left w:w="15" w:type="dxa"/>
            <w:bottom w:w="15" w:type="dxa"/>
            <w:right w:w="15" w:type="dxa"/>
          </w:tblCellMar>
        </w:tblPrEx>
        <w:tc>
          <w:tcPr>
            <w:tcW w:w="161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jc w:val="center"/>
              <w:rPr>
                <w:rFonts w:ascii="仿宋_GB2312" w:hAnsi="仿宋_GB2312" w:eastAsia="仿宋_GB2312" w:cs="仿宋_GB2312"/>
                <w:sz w:val="24"/>
              </w:rPr>
            </w:pPr>
          </w:p>
        </w:tc>
        <w:tc>
          <w:tcPr>
            <w:tcW w:w="426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（七）总计</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w:t>
            </w:r>
          </w:p>
        </w:tc>
        <w:tc>
          <w:tcPr>
            <w:tcW w:w="589"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2</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4</w:t>
            </w:r>
          </w:p>
        </w:tc>
      </w:tr>
      <w:tr>
        <w:tblPrEx>
          <w:tblCellMar>
            <w:top w:w="15" w:type="dxa"/>
            <w:left w:w="15" w:type="dxa"/>
            <w:bottom w:w="15" w:type="dxa"/>
            <w:right w:w="15" w:type="dxa"/>
          </w:tblCellMar>
        </w:tblPrEx>
        <w:tc>
          <w:tcPr>
            <w:tcW w:w="58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四、结转下年度继续办理</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589"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896"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64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pStyle w:val="3"/>
              <w:widowControl/>
              <w:spacing w:beforeAutospacing="0" w:afterAutospacing="0"/>
              <w:jc w:val="center"/>
              <w:rPr>
                <w:rFonts w:ascii="仿宋_GB2312" w:hAnsi="仿宋_GB2312" w:eastAsia="仿宋_GB2312" w:cs="仿宋_GB2312"/>
              </w:rPr>
            </w:pPr>
            <w:r>
              <w:rPr>
                <w:rFonts w:hint="eastAsia" w:ascii="仿宋_GB2312" w:hAnsi="仿宋_GB2312" w:eastAsia="仿宋_GB2312" w:cs="仿宋_GB2312"/>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0" w:type="dxa"/>
              <w:left w:w="60" w:type="dxa"/>
              <w:bottom w:w="0" w:type="dxa"/>
              <w:right w:w="60" w:type="dxa"/>
            </w:tcMar>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pStyle w:val="3"/>
        <w:widowControl/>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shd w:val="clear" w:color="auto" w:fill="FFFFFF"/>
        </w:rPr>
        <w:t>四、政府信息公开行政复议、行政诉讼情况</w:t>
      </w:r>
    </w:p>
    <w:tbl>
      <w:tblPr>
        <w:tblStyle w:val="4"/>
        <w:tblW w:w="9750" w:type="dxa"/>
        <w:tblInd w:w="0" w:type="dxa"/>
        <w:tblLayout w:type="autofit"/>
        <w:tblCellMar>
          <w:top w:w="15" w:type="dxa"/>
          <w:left w:w="15" w:type="dxa"/>
          <w:bottom w:w="15" w:type="dxa"/>
          <w:right w:w="15"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CellMar>
            <w:top w:w="15" w:type="dxa"/>
            <w:left w:w="15" w:type="dxa"/>
            <w:bottom w:w="15" w:type="dxa"/>
            <w:right w:w="15" w:type="dxa"/>
          </w:tblCellMar>
        </w:tblPrEx>
        <w:tc>
          <w:tcPr>
            <w:tcW w:w="321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行政复议</w:t>
            </w:r>
          </w:p>
        </w:tc>
        <w:tc>
          <w:tcPr>
            <w:tcW w:w="6435" w:type="dxa"/>
            <w:gridSpan w:val="10"/>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行政诉讼</w:t>
            </w:r>
          </w:p>
        </w:tc>
      </w:tr>
      <w:tr>
        <w:tblPrEx>
          <w:tblCellMar>
            <w:top w:w="15" w:type="dxa"/>
            <w:left w:w="15" w:type="dxa"/>
            <w:bottom w:w="15" w:type="dxa"/>
            <w:right w:w="15" w:type="dxa"/>
          </w:tblCellMar>
        </w:tblPrEx>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结果维持</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纠正</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其他</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尚未</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审结</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总计</w:t>
            </w:r>
          </w:p>
        </w:tc>
        <w:tc>
          <w:tcPr>
            <w:tcW w:w="3210" w:type="dxa"/>
            <w:gridSpan w:val="5"/>
            <w:tcBorders>
              <w:top w:val="single" w:color="000000" w:sz="6" w:space="0"/>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未经复议直接起诉</w:t>
            </w:r>
          </w:p>
        </w:tc>
        <w:tc>
          <w:tcPr>
            <w:tcW w:w="3210" w:type="dxa"/>
            <w:gridSpan w:val="5"/>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复议后起诉</w:t>
            </w:r>
          </w:p>
        </w:tc>
      </w:tr>
      <w:tr>
        <w:tblPrEx>
          <w:tblCellMar>
            <w:top w:w="15" w:type="dxa"/>
            <w:left w:w="15" w:type="dxa"/>
            <w:bottom w:w="15" w:type="dxa"/>
            <w:right w:w="15" w:type="dxa"/>
          </w:tblCellMar>
        </w:tblPrEx>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sz w:val="22"/>
                <w:szCs w:val="22"/>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sz w:val="22"/>
                <w:szCs w:val="22"/>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sz w:val="22"/>
                <w:szCs w:val="22"/>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sz w:val="22"/>
                <w:szCs w:val="22"/>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rPr>
                <w:rFonts w:ascii="仿宋_GB2312" w:hAnsi="仿宋_GB2312" w:eastAsia="仿宋_GB2312" w:cs="仿宋_GB2312"/>
                <w:sz w:val="22"/>
                <w:szCs w:val="22"/>
              </w:rPr>
            </w:pPr>
          </w:p>
        </w:tc>
        <w:tc>
          <w:tcPr>
            <w:tcW w:w="64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维持</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纠正</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其他</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尚未</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审结</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总计</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维持</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纠正</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其他</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结果</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尚未</w:t>
            </w:r>
          </w:p>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审结</w:t>
            </w:r>
          </w:p>
        </w:tc>
        <w:tc>
          <w:tcPr>
            <w:tcW w:w="64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总计</w:t>
            </w:r>
          </w:p>
        </w:tc>
      </w:tr>
      <w:tr>
        <w:tblPrEx>
          <w:tblCellMar>
            <w:top w:w="15" w:type="dxa"/>
            <w:left w:w="15" w:type="dxa"/>
            <w:bottom w:w="15" w:type="dxa"/>
            <w:right w:w="15" w:type="dxa"/>
          </w:tblCellMar>
        </w:tblPrEx>
        <w:trPr>
          <w:trHeight w:val="675" w:hRule="atLeast"/>
        </w:trPr>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0 </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0 </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0 </w:t>
            </w:r>
          </w:p>
        </w:tc>
        <w:tc>
          <w:tcPr>
            <w:tcW w:w="645" w:type="dxa"/>
            <w:tcBorders>
              <w:top w:val="nil"/>
              <w:left w:val="single" w:color="auto" w:sz="4"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0 </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0 </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0 </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0</w:t>
            </w:r>
          </w:p>
        </w:tc>
        <w:tc>
          <w:tcPr>
            <w:tcW w:w="64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3"/>
              <w:widowControl/>
              <w:spacing w:beforeAutospacing="0" w:afterAutospacing="0"/>
              <w:rPr>
                <w:rFonts w:ascii="仿宋_GB2312" w:hAnsi="仿宋_GB2312" w:eastAsia="仿宋_GB2312" w:cs="仿宋_GB2312"/>
                <w:sz w:val="22"/>
                <w:szCs w:val="22"/>
              </w:rPr>
            </w:pPr>
            <w:r>
              <w:rPr>
                <w:rFonts w:hint="eastAsia" w:ascii="仿宋_GB2312" w:hAnsi="仿宋_GB2312" w:eastAsia="仿宋_GB2312" w:cs="仿宋_GB2312"/>
                <w:sz w:val="22"/>
                <w:szCs w:val="22"/>
              </w:rPr>
              <w:t>0</w:t>
            </w:r>
          </w:p>
        </w:tc>
      </w:tr>
    </w:tbl>
    <w:p>
      <w:pPr>
        <w:pStyle w:val="3"/>
        <w:widowControl/>
        <w:spacing w:beforeAutospacing="0" w:afterAutospacing="0" w:line="58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shd w:val="clear" w:color="auto" w:fill="FFFFFF"/>
        </w:rPr>
        <w:t> </w:t>
      </w:r>
      <w:r>
        <w:rPr>
          <w:rFonts w:hint="eastAsia" w:ascii="黑体" w:hAnsi="黑体" w:eastAsia="黑体" w:cs="黑体"/>
          <w:sz w:val="32"/>
          <w:szCs w:val="32"/>
          <w:shd w:val="clear" w:color="auto" w:fill="FFFFFF"/>
        </w:rPr>
        <w:t>五、存在的主要问题及改进情况</w:t>
      </w:r>
    </w:p>
    <w:p>
      <w:pPr>
        <w:widowControl/>
        <w:shd w:val="clear" w:color="auto" w:fill="FFFFFF"/>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政务公开工作存在的主要问题：一是公开的内容和形式有待进一步丰富，信息公开水平有待提高；二是政务公开的宣传力度仍需进一步加大，宣传素材较少且内容不够充实；三是政务公开工作人员业务素质有待进一步提高。</w:t>
      </w:r>
    </w:p>
    <w:p>
      <w:pPr>
        <w:widowControl/>
        <w:shd w:val="clear" w:color="auto" w:fill="FFFFFF"/>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下一步，我局将进一步完善政务公开工作相关机制，切实抓好政务公开工作。一是进一步提高认识，明确推行政务公开工作的重要意义,继续完善和健全政务公开工作制度；二是进一步加强业务学习，提升业务素质,扎实掌握政务公开工作准确性、时效性；三是进一步增强</w:t>
      </w:r>
      <w:r>
        <w:rPr>
          <w:rFonts w:hint="eastAsia" w:ascii="仿宋_GB2312" w:hAnsi="仿宋_GB2312" w:eastAsia="仿宋_GB2312" w:cs="仿宋_GB2312"/>
          <w:sz w:val="32"/>
          <w:szCs w:val="32"/>
          <w:shd w:val="clear" w:color="auto" w:fill="FFFFFF"/>
        </w:rPr>
        <w:t>政务信息公开力度，增强工作的透明度和公</w:t>
      </w:r>
      <w:r>
        <w:rPr>
          <w:rFonts w:hint="eastAsia" w:ascii="仿宋_GB2312" w:hAnsi="仿宋_GB2312" w:eastAsia="仿宋_GB2312" w:cs="仿宋_GB2312"/>
          <w:kern w:val="0"/>
          <w:sz w:val="32"/>
          <w:szCs w:val="32"/>
          <w:shd w:val="clear" w:color="auto" w:fill="FFFFFF"/>
        </w:rPr>
        <w:t>开性，使政务公开更加务实、亲民。</w:t>
      </w:r>
    </w:p>
    <w:p>
      <w:pPr>
        <w:widowControl/>
        <w:numPr>
          <w:ilvl w:val="0"/>
          <w:numId w:val="1"/>
        </w:numPr>
        <w:shd w:val="clear" w:color="auto" w:fill="FFFFFF"/>
        <w:spacing w:line="580" w:lineRule="exact"/>
        <w:ind w:firstLine="640" w:firstLineChars="200"/>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其他需要报告的事项</w:t>
      </w:r>
    </w:p>
    <w:p>
      <w:pPr>
        <w:widowControl/>
        <w:shd w:val="clear" w:color="auto" w:fill="FFFFFF"/>
        <w:spacing w:line="58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（无）</w:t>
      </w:r>
    </w:p>
    <w:p>
      <w:pPr>
        <w:widowControl/>
        <w:shd w:val="clear" w:color="auto" w:fill="FFFFFF"/>
        <w:wordWrap w:val="0"/>
        <w:spacing w:line="580" w:lineRule="exact"/>
        <w:ind w:firstLine="640" w:firstLineChars="200"/>
        <w:jc w:val="righ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w:t>
      </w:r>
    </w:p>
    <w:sectPr>
      <w:pgSz w:w="11906" w:h="16838"/>
      <w:pgMar w:top="187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04A3B1"/>
    <w:multiLevelType w:val="singleLevel"/>
    <w:tmpl w:val="6404A3B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6367A1F"/>
    <w:rsid w:val="00031DEE"/>
    <w:rsid w:val="00A44D35"/>
    <w:rsid w:val="12A90671"/>
    <w:rsid w:val="15B656F4"/>
    <w:rsid w:val="16367A1F"/>
    <w:rsid w:val="29253B8C"/>
    <w:rsid w:val="2A237A22"/>
    <w:rsid w:val="2E420863"/>
    <w:rsid w:val="2FED58C0"/>
    <w:rsid w:val="33BE0885"/>
    <w:rsid w:val="469D762C"/>
    <w:rsid w:val="4D3857A8"/>
    <w:rsid w:val="4D7178E4"/>
    <w:rsid w:val="53A70F92"/>
    <w:rsid w:val="559B5E54"/>
    <w:rsid w:val="576507F0"/>
    <w:rsid w:val="5B821940"/>
    <w:rsid w:val="64A01811"/>
    <w:rsid w:val="67C04F53"/>
    <w:rsid w:val="68A205C0"/>
    <w:rsid w:val="6B03185D"/>
    <w:rsid w:val="6C1D79AA"/>
    <w:rsid w:val="6DD2086E"/>
    <w:rsid w:val="70A5362F"/>
    <w:rsid w:val="74563EFA"/>
    <w:rsid w:val="7B7548CE"/>
    <w:rsid w:val="7E990427"/>
    <w:rsid w:val="AEEF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343</Words>
  <Characters>1956</Characters>
  <Lines>16</Lines>
  <Paragraphs>4</Paragraphs>
  <TotalTime>12</TotalTime>
  <ScaleCrop>false</ScaleCrop>
  <LinksUpToDate>false</LinksUpToDate>
  <CharactersWithSpaces>2295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2022-01-26T09:22:00Z</dcterms:created>
  <dc:creator>Administrator</dc:creator>
  <cp:lastModifiedBy>baixin</cp:lastModifiedBy>
  <dcterms:modified xsi:type="dcterms:W3CDTF">2022-02-26T10:54:26Z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E762CD921B664F2D837F83E9C8D44750</vt:lpwstr>
  </property>
</Properties>
</file>