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-420" w:rightChars="-20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-420" w:leftChars="-200" w:right="-420" w:rightChars="-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辛寺街办事处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-420" w:leftChars="-200" w:right="-420" w:rightChars="-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2024年政府信息公开年报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-420" w:leftChars="-200" w:right="-420" w:rightChars="-20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-420" w:leftChars="-200" w:right="-420" w:rightChars="-20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根据《中华人民共和国政府信息公开条例》要求，辛寺街办事处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区委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区政府的正确领导下，在区直各部门的具体指导下，认真贯彻落实上级有关政府信息公开工作精神要求，结合街道工作实际，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抓实政府信息公开工作。现将我单位政府信息公开工作汇报如下：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-420" w:leftChars="-200" w:right="-420" w:rightChars="-20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-420" w:leftChars="-200" w:right="-420" w:rightChars="-20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辛寺街街道党工委、办事处高度重视政府信息公开工作，坚持以习近平新时代中国特色社会主义思想为指导，认真贯彻落实党的二十大和党的二十届三中全会精神，坚持把政务信息公开作为推进职能转变、增强依法行政、提高公信力的一项重要举措，以公开为常态、不公开为例外，不断提高信息发布质量，拓展深化公开内容，扎实推进政务公开各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-420" w:leftChars="-200" w:right="-420" w:rightChars="-200" w:firstLine="640" w:firstLineChars="200"/>
        <w:textAlignment w:val="auto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（一）强化组织建设，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压实主体责任。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-420" w:leftChars="-200" w:right="-420" w:rightChars="-20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党工委班子召开专题会议研究和部署政府信息公开工作，成立政府公开信息领导小组，明确工作组职责，落实专人负责信息公开日常工作，为全面规范街道信息公开工作奠定有力基础。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-420" w:leftChars="-200" w:right="-420" w:rightChars="-200" w:firstLine="640" w:firstLineChars="200"/>
        <w:textAlignment w:val="auto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（二）完善工作制度，推进平台完善。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-420" w:leftChars="-200" w:right="-420" w:rightChars="-200" w:firstLine="672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fill="FFFFFF"/>
        </w:rPr>
        <w:t>为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val="en-US" w:eastAsia="zh-CN"/>
        </w:rPr>
        <w:t>推动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fill="FFFFFF"/>
        </w:rPr>
        <w:t>我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eastAsia="zh-CN"/>
        </w:rPr>
        <w:t>街道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fill="FFFFFF"/>
        </w:rPr>
        <w:t>政务信息公开和社会服务信息化管理水平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val="en-US" w:eastAsia="zh-CN"/>
        </w:rPr>
        <w:t>不断提高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fill="FFFFFF"/>
        </w:rPr>
        <w:t>，方便群众了解政府政策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eastAsia="zh-CN"/>
        </w:rPr>
        <w:t>、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fill="FFFFFF"/>
        </w:rPr>
        <w:t>参与监督工作。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制定《辛寺街办事处全面推进基层政务公开标准化规范化工作方案》、《辛寺街办事处关于进一步规范文件公开属性和政策解读工作的通知》，建立依公开申请内部流程，完善政务舆情回应关切机制。明确信息公开责任追究办法，完善配套制度，确保信息依法、依规，安全公开。新建“魅力辛寺”简篇、“东关邻里·乐生活”、“九彩光明”、“和韵华州”、“和谐挂甲”、“魅力宾站”微信公众号向广大群众公开，切实提高居民知晓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-420" w:leftChars="-200" w:right="-420" w:rightChars="-200" w:firstLine="640" w:firstLineChars="200"/>
        <w:textAlignment w:val="auto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（三）深化信息公开，回应群众关切。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-420" w:leftChars="-200" w:right="-420" w:rightChars="-20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利用</w:t>
      </w:r>
      <w:r>
        <w:rPr>
          <w:rFonts w:hint="eastAsia" w:ascii="仿宋" w:hAnsi="仿宋" w:eastAsia="仿宋" w:cs="仿宋"/>
          <w:sz w:val="32"/>
          <w:szCs w:val="32"/>
        </w:rPr>
        <w:t>便民公示栏，公示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低保户、残疾人补贴、各项救助、</w:t>
      </w:r>
      <w:r>
        <w:rPr>
          <w:rFonts w:hint="eastAsia" w:ascii="仿宋" w:hAnsi="仿宋" w:eastAsia="仿宋" w:cs="仿宋"/>
          <w:sz w:val="32"/>
          <w:szCs w:val="32"/>
        </w:rPr>
        <w:t>经适房、廉租房的申报名单、征兵条件及流程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、重点问题销号，</w:t>
      </w:r>
      <w:r>
        <w:rPr>
          <w:rFonts w:hint="eastAsia" w:ascii="仿宋" w:hAnsi="仿宋" w:eastAsia="仿宋" w:cs="仿宋"/>
          <w:sz w:val="32"/>
          <w:szCs w:val="32"/>
        </w:rPr>
        <w:t>区委区政府下发的涉及民生、法律法规等方面的政策性文件及各类公示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-420" w:leftChars="-200" w:right="-420" w:rightChars="-20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2024年，我办事处信息共计公开21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3条。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主要公开内容：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办事处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机构名称、办公地址、办公时间、办公电话、传真、通信地址、邮政编码；2、政务公开领导小组成员、职务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、职责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；3、办事处部门职能机构、机构负责人；4、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办事处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2024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年度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预决算报告，财务年报、政府采购项目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9次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；5、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便民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服务中心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工作职责、办事流程等；6、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公示栏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公示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低保、救助、限价房、公租房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申报名单、征兵流程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及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区委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区政府下发的涉及民生等方面的政策性文件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等。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共计公开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低保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公租房家庭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户，新增重度残疾人护理补贴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35人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资助山西省扶残助学大学生圆梦工程困难残疾人家庭子女1人。扶助独生子女伤残、死亡家庭8户12人。办理新增独生子女死亡家庭1户2人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7、用微信群、电子屏、海报等新媒体形式公开宣传基层治理、安全环保宣传420余次，扫黑除恶工作7次，法律宣传工作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次，禁毒、宗教工作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次;</w:t>
      </w:r>
      <w:r>
        <w:rPr>
          <w:rFonts w:hint="eastAsia" w:ascii="仿宋" w:hAnsi="仿宋" w:eastAsia="仿宋" w:cs="仿宋"/>
          <w:sz w:val="32"/>
          <w:szCs w:val="32"/>
        </w:rPr>
        <w:t>在辖区定期开展计生、消防、安全、司法、禁毒等法律法规宣传，向居民发放宣传材料共计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530</w:t>
      </w:r>
      <w:r>
        <w:rPr>
          <w:rFonts w:hint="eastAsia" w:ascii="仿宋" w:hAnsi="仿宋" w:eastAsia="仿宋" w:cs="仿宋"/>
          <w:sz w:val="32"/>
          <w:szCs w:val="32"/>
        </w:rPr>
        <w:t>余份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8、</w:t>
      </w:r>
      <w:r>
        <w:rPr>
          <w:rFonts w:hint="eastAsia" w:ascii="仿宋" w:hAnsi="仿宋" w:eastAsia="仿宋" w:cs="仿宋"/>
          <w:sz w:val="32"/>
          <w:szCs w:val="32"/>
        </w:rPr>
        <w:t>设监督举报意见箱、举报电话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。一年来，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与辖区居民实现信息共享，全面提升便民利民服务能力。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 w:right="0" w:rightChars="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二、主动公开政府信息情况</w:t>
      </w:r>
    </w:p>
    <w:tbl>
      <w:tblPr>
        <w:tblStyle w:val="5"/>
        <w:tblW w:w="8696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5"/>
        <w:gridCol w:w="20"/>
        <w:gridCol w:w="2151"/>
        <w:gridCol w:w="1950"/>
        <w:gridCol w:w="219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44" w:hRule="atLeast"/>
        </w:trPr>
        <w:tc>
          <w:tcPr>
            <w:tcW w:w="8696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A1A7BC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4000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第二十条第(一)项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4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819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21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本年制发件数</w:t>
            </w:r>
          </w:p>
        </w:tc>
        <w:tc>
          <w:tcPr>
            <w:tcW w:w="19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本年废止件数</w:t>
            </w:r>
          </w:p>
        </w:tc>
        <w:tc>
          <w:tcPr>
            <w:tcW w:w="21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现行有效件数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24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40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规章</w:t>
            </w:r>
          </w:p>
        </w:tc>
        <w:tc>
          <w:tcPr>
            <w:tcW w:w="21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19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21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4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40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行政规范性文件</w:t>
            </w:r>
          </w:p>
        </w:tc>
        <w:tc>
          <w:tcPr>
            <w:tcW w:w="21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19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21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696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9DA3B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4000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第二十条第(五)项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4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810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629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本年处理决定数量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4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40"/>
              <w:jc w:val="left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行政许可</w:t>
            </w:r>
          </w:p>
        </w:tc>
        <w:tc>
          <w:tcPr>
            <w:tcW w:w="629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696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A5ABC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4000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第二十条第(六)项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3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799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6311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本年处理决定数量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23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50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行政处罚</w:t>
            </w:r>
          </w:p>
        </w:tc>
        <w:tc>
          <w:tcPr>
            <w:tcW w:w="6311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3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50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行政强制</w:t>
            </w:r>
          </w:p>
        </w:tc>
        <w:tc>
          <w:tcPr>
            <w:tcW w:w="6311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696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9DA3B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4000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第二十条第(八)项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3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810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6311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本年收费金额(单位:万元)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3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行政事业性收费</w:t>
            </w:r>
          </w:p>
        </w:tc>
        <w:tc>
          <w:tcPr>
            <w:tcW w:w="6311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5"/>
        <w:tblpPr w:leftFromText="180" w:rightFromText="180" w:vertAnchor="text" w:horzAnchor="page" w:tblpX="1887" w:tblpY="220"/>
        <w:tblOverlap w:val="never"/>
        <w:tblW w:w="8666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1"/>
        <w:gridCol w:w="735"/>
        <w:gridCol w:w="2655"/>
        <w:gridCol w:w="750"/>
        <w:gridCol w:w="660"/>
        <w:gridCol w:w="660"/>
        <w:gridCol w:w="645"/>
        <w:gridCol w:w="720"/>
        <w:gridCol w:w="585"/>
        <w:gridCol w:w="61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031" w:type="dxa"/>
            <w:gridSpan w:val="3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(本列数据的勾稽关系为:第一项加第二项之和,等于第三项加第四项之和)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139"/>
              <w:jc w:val="both"/>
              <w:textAlignment w:val="auto"/>
              <w:rPr>
                <w:rFonts w:ascii="宋体" w:hAnsi="宋体" w:eastAsia="宋体" w:cs="宋体"/>
                <w:sz w:val="13"/>
                <w:szCs w:val="13"/>
              </w:rPr>
            </w:pPr>
          </w:p>
        </w:tc>
        <w:tc>
          <w:tcPr>
            <w:tcW w:w="4635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1871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031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750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自然人</w:t>
            </w:r>
          </w:p>
        </w:tc>
        <w:tc>
          <w:tcPr>
            <w:tcW w:w="3270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992"/>
              <w:jc w:val="both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法人或其他组织</w:t>
            </w:r>
          </w:p>
        </w:tc>
        <w:tc>
          <w:tcPr>
            <w:tcW w:w="61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139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4031" w:type="dxa"/>
            <w:gridSpan w:val="3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750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133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133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pacing w:val="-4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科研 机构</w:t>
            </w:r>
          </w:p>
        </w:tc>
        <w:tc>
          <w:tcPr>
            <w:tcW w:w="6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公益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组织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法律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机构</w:t>
            </w:r>
          </w:p>
        </w:tc>
        <w:tc>
          <w:tcPr>
            <w:tcW w:w="58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其他</w:t>
            </w:r>
          </w:p>
        </w:tc>
        <w:tc>
          <w:tcPr>
            <w:tcW w:w="61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03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139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7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03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139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二</w:t>
            </w:r>
            <w:r>
              <w:rPr>
                <w:rFonts w:ascii="宋体" w:hAnsi="宋体" w:eastAsia="宋体" w:cs="宋体"/>
                <w:sz w:val="20"/>
                <w:szCs w:val="20"/>
              </w:rPr>
              <w:t>、上年结转政府信息公开申请数量</w:t>
            </w:r>
          </w:p>
        </w:tc>
        <w:tc>
          <w:tcPr>
            <w:tcW w:w="7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41" w:type="dxa"/>
            <w:vMerge w:val="restart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textAlignment w:val="auto"/>
              <w:rPr>
                <w:rFonts w:ascii="宋体" w:hAnsi="宋体" w:eastAsia="宋体" w:cs="宋体"/>
                <w:spacing w:val="-1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三、本 年度办理结果</w:t>
            </w:r>
          </w:p>
        </w:tc>
        <w:tc>
          <w:tcPr>
            <w:tcW w:w="339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122"/>
              <w:textAlignment w:val="auto"/>
              <w:rPr>
                <w:rFonts w:ascii="宋体" w:hAnsi="宋体" w:eastAsia="宋体" w:cs="宋体"/>
                <w:spacing w:val="-1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(一)予以公开</w:t>
            </w:r>
          </w:p>
        </w:tc>
        <w:tc>
          <w:tcPr>
            <w:tcW w:w="7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4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122"/>
              <w:textAlignment w:val="auto"/>
              <w:rPr>
                <w:rFonts w:ascii="宋体" w:hAnsi="宋体" w:eastAsia="宋体" w:cs="宋体"/>
                <w:spacing w:val="-10"/>
                <w:sz w:val="20"/>
                <w:szCs w:val="20"/>
              </w:rPr>
            </w:pPr>
          </w:p>
        </w:tc>
        <w:tc>
          <w:tcPr>
            <w:tcW w:w="339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122"/>
              <w:textAlignment w:val="auto"/>
              <w:rPr>
                <w:rFonts w:ascii="宋体" w:hAnsi="宋体" w:eastAsia="宋体" w:cs="宋体"/>
                <w:spacing w:val="-1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(二)部分公开(区分处理的,只计这一情形</w:t>
            </w: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eastAsia="zh-CN"/>
              </w:rPr>
              <w:t>，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不计其他情形)</w:t>
            </w:r>
          </w:p>
        </w:tc>
        <w:tc>
          <w:tcPr>
            <w:tcW w:w="7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64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735" w:type="dxa"/>
            <w:vMerge w:val="restart"/>
            <w:tcBorders>
              <w:top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61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10"/>
                <w:sz w:val="20"/>
                <w:szCs w:val="20"/>
              </w:rPr>
              <w:t>(三)不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61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予公开</w:t>
            </w:r>
          </w:p>
        </w:tc>
        <w:tc>
          <w:tcPr>
            <w:tcW w:w="26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44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1.属于国家秘密</w:t>
            </w:r>
          </w:p>
        </w:tc>
        <w:tc>
          <w:tcPr>
            <w:tcW w:w="7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64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73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6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44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2.其他法律行政法规禁止公开</w:t>
            </w:r>
          </w:p>
        </w:tc>
        <w:tc>
          <w:tcPr>
            <w:tcW w:w="7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4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73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6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44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3.危及"三安全一稳定"</w:t>
            </w:r>
          </w:p>
        </w:tc>
        <w:tc>
          <w:tcPr>
            <w:tcW w:w="7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58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4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textAlignment w:val="auto"/>
              <w:rPr>
                <w:rFonts w:hint="eastAsia" w:ascii="Arial" w:eastAsiaTheme="minorEastAsia"/>
                <w:sz w:val="21"/>
                <w:lang w:val="en-US" w:eastAsia="zh-CN"/>
              </w:rPr>
            </w:pPr>
          </w:p>
        </w:tc>
        <w:tc>
          <w:tcPr>
            <w:tcW w:w="73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6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44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4.保护第三方合法权益</w:t>
            </w:r>
          </w:p>
        </w:tc>
        <w:tc>
          <w:tcPr>
            <w:tcW w:w="7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58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4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73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6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44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5.属于三类内部事务信息</w:t>
            </w:r>
          </w:p>
        </w:tc>
        <w:tc>
          <w:tcPr>
            <w:tcW w:w="7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58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4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73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6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44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6.属于四类过程性信息</w:t>
            </w:r>
          </w:p>
        </w:tc>
        <w:tc>
          <w:tcPr>
            <w:tcW w:w="7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58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4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73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6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44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7.属于行政执法案卷</w:t>
            </w:r>
          </w:p>
        </w:tc>
        <w:tc>
          <w:tcPr>
            <w:tcW w:w="7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58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4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735" w:type="dxa"/>
            <w:vMerge w:val="continue"/>
            <w:tcBorders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6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44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8.属于行政查询事项</w:t>
            </w:r>
          </w:p>
        </w:tc>
        <w:tc>
          <w:tcPr>
            <w:tcW w:w="7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58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64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73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52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w w:val="99"/>
                <w:position w:val="7"/>
                <w:sz w:val="19"/>
                <w:szCs w:val="19"/>
              </w:rPr>
              <w:t>(</w:t>
            </w:r>
            <w:r>
              <w:rPr>
                <w:rFonts w:ascii="宋体" w:hAnsi="宋体" w:eastAsia="宋体" w:cs="宋体"/>
                <w:spacing w:val="-46"/>
                <w:position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9"/>
                <w:position w:val="7"/>
                <w:sz w:val="19"/>
                <w:szCs w:val="19"/>
              </w:rPr>
              <w:t>四)无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52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法提供</w:t>
            </w:r>
          </w:p>
        </w:tc>
        <w:tc>
          <w:tcPr>
            <w:tcW w:w="26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44"/>
              <w:textAlignment w:val="auto"/>
              <w:rPr>
                <w:rFonts w:ascii="宋体" w:hAnsi="宋体" w:eastAsia="宋体" w:cs="宋体"/>
                <w:spacing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1.本机关不掌握相关政府信息</w:t>
            </w:r>
          </w:p>
        </w:tc>
        <w:tc>
          <w:tcPr>
            <w:tcW w:w="7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58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64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6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44"/>
              <w:textAlignment w:val="auto"/>
              <w:rPr>
                <w:rFonts w:ascii="宋体" w:hAnsi="宋体" w:eastAsia="宋体" w:cs="宋体"/>
                <w:spacing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2.没有现成信息需要另行制作</w:t>
            </w:r>
          </w:p>
        </w:tc>
        <w:tc>
          <w:tcPr>
            <w:tcW w:w="7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58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64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73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6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44"/>
              <w:textAlignment w:val="auto"/>
              <w:rPr>
                <w:rFonts w:ascii="宋体" w:hAnsi="宋体" w:eastAsia="宋体" w:cs="宋体"/>
                <w:spacing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3.补正后申请内容仍不明确</w:t>
            </w:r>
          </w:p>
        </w:tc>
        <w:tc>
          <w:tcPr>
            <w:tcW w:w="7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58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64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73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52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position w:val="9"/>
                <w:sz w:val="19"/>
                <w:szCs w:val="19"/>
              </w:rPr>
              <w:t>(五</w:t>
            </w:r>
            <w:r>
              <w:rPr>
                <w:rFonts w:ascii="宋体" w:hAnsi="宋体" w:eastAsia="宋体" w:cs="宋体"/>
                <w:spacing w:val="-55"/>
                <w:position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position w:val="9"/>
                <w:sz w:val="19"/>
                <w:szCs w:val="19"/>
              </w:rPr>
              <w:t>)不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52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予处理</w:t>
            </w:r>
          </w:p>
        </w:tc>
        <w:tc>
          <w:tcPr>
            <w:tcW w:w="26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44"/>
              <w:textAlignment w:val="auto"/>
              <w:rPr>
                <w:rFonts w:ascii="宋体" w:hAnsi="宋体" w:eastAsia="宋体" w:cs="宋体"/>
                <w:spacing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1.信访举报投诉类申请</w:t>
            </w:r>
          </w:p>
        </w:tc>
        <w:tc>
          <w:tcPr>
            <w:tcW w:w="7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58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4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6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44"/>
              <w:textAlignment w:val="auto"/>
              <w:rPr>
                <w:rFonts w:ascii="宋体" w:hAnsi="宋体" w:eastAsia="宋体" w:cs="宋体"/>
                <w:spacing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2.重复申请</w:t>
            </w:r>
          </w:p>
        </w:tc>
        <w:tc>
          <w:tcPr>
            <w:tcW w:w="7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58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4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6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44"/>
              <w:textAlignment w:val="auto"/>
              <w:rPr>
                <w:rFonts w:ascii="宋体" w:hAnsi="宋体" w:eastAsia="宋体" w:cs="宋体"/>
                <w:spacing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3.要求提供公开出版物</w:t>
            </w:r>
          </w:p>
        </w:tc>
        <w:tc>
          <w:tcPr>
            <w:tcW w:w="7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58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4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6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44"/>
              <w:textAlignment w:val="auto"/>
              <w:rPr>
                <w:rFonts w:ascii="宋体" w:hAnsi="宋体" w:eastAsia="宋体" w:cs="宋体"/>
                <w:spacing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4.无正当理由大量反复申请</w:t>
            </w:r>
          </w:p>
        </w:tc>
        <w:tc>
          <w:tcPr>
            <w:tcW w:w="7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58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64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73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6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44"/>
              <w:textAlignment w:val="auto"/>
              <w:rPr>
                <w:rFonts w:ascii="宋体" w:hAnsi="宋体" w:eastAsia="宋体" w:cs="宋体"/>
                <w:spacing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5.要求行政机关确认或重新出具已 获取信息</w:t>
            </w:r>
          </w:p>
        </w:tc>
        <w:tc>
          <w:tcPr>
            <w:tcW w:w="7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58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64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73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52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position w:val="9"/>
                <w:sz w:val="19"/>
                <w:szCs w:val="19"/>
              </w:rPr>
              <w:t>(六)其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52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他处理</w:t>
            </w:r>
          </w:p>
        </w:tc>
        <w:tc>
          <w:tcPr>
            <w:tcW w:w="26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44"/>
              <w:textAlignment w:val="auto"/>
              <w:rPr>
                <w:rFonts w:ascii="宋体" w:hAnsi="宋体" w:eastAsia="宋体" w:cs="宋体"/>
                <w:spacing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1.申请人无正当理由逾期不补正、行 政机关不再处理其政府信息公开申请</w:t>
            </w:r>
          </w:p>
        </w:tc>
        <w:tc>
          <w:tcPr>
            <w:tcW w:w="7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58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64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6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44"/>
              <w:textAlignment w:val="auto"/>
              <w:rPr>
                <w:rFonts w:ascii="宋体" w:hAnsi="宋体" w:eastAsia="宋体" w:cs="宋体"/>
                <w:spacing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2.申请人逾期未按收费通知要求缴 纳费用、行政机关不再处理其政府信 息公开申请</w:t>
            </w:r>
          </w:p>
        </w:tc>
        <w:tc>
          <w:tcPr>
            <w:tcW w:w="7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58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64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73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6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44"/>
              <w:textAlignment w:val="auto"/>
              <w:rPr>
                <w:rFonts w:ascii="宋体" w:hAnsi="宋体" w:eastAsia="宋体" w:cs="宋体"/>
                <w:spacing w:val="3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3.其他</w:t>
            </w:r>
          </w:p>
        </w:tc>
        <w:tc>
          <w:tcPr>
            <w:tcW w:w="7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58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641" w:type="dxa"/>
            <w:vMerge w:val="continue"/>
            <w:tcBorders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339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102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(七)总计</w:t>
            </w:r>
          </w:p>
        </w:tc>
        <w:tc>
          <w:tcPr>
            <w:tcW w:w="7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58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403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50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四、结转下年度继续办理</w:t>
            </w:r>
          </w:p>
        </w:tc>
        <w:tc>
          <w:tcPr>
            <w:tcW w:w="7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58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政府信息公开行政复议、行政诉讼情况</w:t>
      </w:r>
    </w:p>
    <w:tbl>
      <w:tblPr>
        <w:tblStyle w:val="5"/>
        <w:tblW w:w="9639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639"/>
        <w:gridCol w:w="638"/>
        <w:gridCol w:w="639"/>
        <w:gridCol w:w="649"/>
        <w:gridCol w:w="639"/>
        <w:gridCol w:w="638"/>
        <w:gridCol w:w="639"/>
        <w:gridCol w:w="648"/>
        <w:gridCol w:w="639"/>
        <w:gridCol w:w="639"/>
        <w:gridCol w:w="658"/>
        <w:gridCol w:w="639"/>
        <w:gridCol w:w="639"/>
        <w:gridCol w:w="64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24" w:hRule="atLeast"/>
          <w:jc w:val="center"/>
        </w:trPr>
        <w:tc>
          <w:tcPr>
            <w:tcW w:w="3213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1209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行政复议</w:t>
            </w:r>
          </w:p>
        </w:tc>
        <w:tc>
          <w:tcPr>
            <w:tcW w:w="6426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2817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行政诉讼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648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hanging="190" w:hangingChars="10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90" w:leftChars="0" w:right="0" w:rightChars="0" w:hanging="190" w:hangingChars="100"/>
              <w:jc w:val="center"/>
              <w:textAlignment w:val="auto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维持</w:t>
            </w:r>
          </w:p>
        </w:tc>
        <w:tc>
          <w:tcPr>
            <w:tcW w:w="63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纠正</w:t>
            </w:r>
          </w:p>
        </w:tc>
        <w:tc>
          <w:tcPr>
            <w:tcW w:w="638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结果</w:t>
            </w:r>
          </w:p>
        </w:tc>
        <w:tc>
          <w:tcPr>
            <w:tcW w:w="63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尚未审结</w:t>
            </w:r>
          </w:p>
        </w:tc>
        <w:tc>
          <w:tcPr>
            <w:tcW w:w="64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122" w:firstLineChars="0"/>
              <w:jc w:val="center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总计</w:t>
            </w:r>
          </w:p>
        </w:tc>
        <w:tc>
          <w:tcPr>
            <w:tcW w:w="3203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826"/>
              <w:jc w:val="center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未经复议直接起诉</w:t>
            </w:r>
          </w:p>
        </w:tc>
        <w:tc>
          <w:tcPr>
            <w:tcW w:w="3223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1124"/>
              <w:jc w:val="center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复议后起诉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48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63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638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63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64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hanging="190" w:hangingChars="10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hanging="190" w:hangingChars="100"/>
              <w:jc w:val="center"/>
              <w:textAlignment w:val="auto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维持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纠正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结果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尚未审结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122"/>
              <w:jc w:val="center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总计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hanging="190" w:hangingChars="10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90" w:leftChars="0" w:right="0" w:rightChars="0" w:hanging="190" w:hangingChars="100"/>
              <w:jc w:val="center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维持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纠正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结果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尚未审结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122" w:firstLineChars="0"/>
              <w:jc w:val="center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存在的主要问题及改进情况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2024年，辛寺街办事处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严格落实上级有关政府信息公开的决策部署和文件精神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，取得了一定成效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，但仍存在信息公开不够及时、规范，舆情处置质量不高等问题。下一步，辛寺街将不断加以完善和改进。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是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开展宣传教育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优化服务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组织街道社区相关工作人员参加信息公开工作培训会，强化对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《中华人民共和国政府信息公开条例》等纲领性文件的学习，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对信息公开的目的、意义、程序及具体要求和标准进行再培训，推动我街道政府信息公开的时效性和规范性持续加强。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二是引导舆论走向，凝聚共识。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进一步增强舆情意识，主动回应社会关切热点，及时解疑释惑，正确引导社会舆论。加强对街道和社区干部的舆情应对培训，提高其在新媒体环境下的舆论引导能力和危机公关能力，能够迅速、准确、有效地进行回应和引导，提高政务舆情回应的主动性、针对性、有效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 w:firstLine="643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三是强化保密管理，确保安全。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强化保密意识，在保密中推行政府公开，坚持公开与保密的有机统一。在政府公开工作中，时刻绷紧保密弦，严格按规定做好上网信息审核把关工作，真正做到涉密信息不上网，上网信息不涉密，确保政府信息公开工作的安全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六、其他需要报告的事项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-420" w:rightChars="-200"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无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-420" w:leftChars="-200" w:right="-420" w:rightChars="-200"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-420" w:leftChars="-200" w:right="-420" w:rightChars="-200"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-420" w:leftChars="-200" w:right="-420" w:rightChars="-200" w:firstLine="5440" w:firstLineChars="1700"/>
        <w:jc w:val="both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辛寺街办事处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-420" w:leftChars="-200" w:right="-420" w:rightChars="-200" w:firstLine="5440" w:firstLineChars="1700"/>
        <w:jc w:val="both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2025年1月6日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CAD30CD4-80FC-4EDE-A821-31F3F0C1F6E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3BCC02D-4F0C-422E-9A06-EE2EC742C20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BCC693A4-CE64-421C-BCB5-08F3A7D37F7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E9ADE7F-8CA3-49B9-964E-5DCC6B800C9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0C2D776-5E1E-4DCA-96AA-B3C707FDE6A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F501B335-BA67-4475-AA71-75503601D38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EA02D8"/>
    <w:multiLevelType w:val="singleLevel"/>
    <w:tmpl w:val="69EA02D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mZGQwNGI4OTdkNjZjZmFmNWUxNDZjMjM2Y2RjMDQifQ=="/>
  </w:docVars>
  <w:rsids>
    <w:rsidRoot w:val="0F0F72D8"/>
    <w:rsid w:val="01512A09"/>
    <w:rsid w:val="0B7E2F36"/>
    <w:rsid w:val="0BC317C0"/>
    <w:rsid w:val="0D0C7A56"/>
    <w:rsid w:val="0F0F72D8"/>
    <w:rsid w:val="11A46535"/>
    <w:rsid w:val="1D934DF7"/>
    <w:rsid w:val="24713399"/>
    <w:rsid w:val="28582F70"/>
    <w:rsid w:val="2CEA709A"/>
    <w:rsid w:val="35B8462C"/>
    <w:rsid w:val="444B5911"/>
    <w:rsid w:val="4B427C4A"/>
    <w:rsid w:val="4C766400"/>
    <w:rsid w:val="4EA079E3"/>
    <w:rsid w:val="53582700"/>
    <w:rsid w:val="548D63DA"/>
    <w:rsid w:val="55277C99"/>
    <w:rsid w:val="55627866"/>
    <w:rsid w:val="57713D91"/>
    <w:rsid w:val="57F56770"/>
    <w:rsid w:val="5B2D4026"/>
    <w:rsid w:val="5D647EF4"/>
    <w:rsid w:val="5EB86E07"/>
    <w:rsid w:val="5F214EA0"/>
    <w:rsid w:val="60FA12B0"/>
    <w:rsid w:val="70673B2B"/>
    <w:rsid w:val="72C76B03"/>
    <w:rsid w:val="7A85177D"/>
    <w:rsid w:val="7C93599C"/>
    <w:rsid w:val="7E19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2588</Words>
  <Characters>2633</Characters>
  <Lines>0</Lines>
  <Paragraphs>0</Paragraphs>
  <TotalTime>95</TotalTime>
  <ScaleCrop>false</ScaleCrop>
  <LinksUpToDate>false</LinksUpToDate>
  <CharactersWithSpaces>2675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2024-01-17T08:41:00Z</dcterms:created>
  <dc:creator>清净幽香</dc:creator>
  <cp:lastModifiedBy>Administrator</cp:lastModifiedBy>
  <cp:lastPrinted>2025-01-09T02:02:00Z</cp:lastPrinted>
  <dcterms:modified xsi:type="dcterms:W3CDTF">2025-10-17T07:32:22Z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EAE375DE0F9D4D8A87D805903890DCF6_13</vt:lpwstr>
  </property>
</Properties>
</file>