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一平垣乡人民政府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2023年政府信息公开年报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bookmarkStart w:id="0" w:name="_GoBack"/>
      <w:bookmarkEnd w:id="0"/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2023年，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一平垣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乡在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政府的正确领导下，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政务公开作为法治政府、服务政府建设的重要抓手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根据区政府《关于做好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2023年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相关工作的通知》，结合工作实际，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社会公布我乡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信息公开工作年度报告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（一）以组织领导为保障，统筹政务公开事宜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一平垣乡始终将政务公开工作纳入重要议事日程，持续深化主动公开、规范依申请公开、扩展基层政务公开工作。成立政务信息公开工作领导小组，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乡长张钧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为组长，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分管领导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杨磊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为副组长，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指定专兼职人员负责落实，对政府信息进行分类梳理，按照主动公开、依申请公开、不予公开三类规范管理。严格信息发布制度，按照分管领导初审、主要领导再审的流程逐级审核，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乡纪委负责对政府信息公开工作进行行政监察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做到领导力度、目标责任、监督检查“三到位”，严把制度关、文字关。以政务公开促进服务质效有力提升，全力打造阳光、公平、高效、便捷、法治的政务服务环境。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（二）以队伍建设为支撑，加强政务公开培训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一是完善工作流程。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配备政务公开专职工作人员一名，统筹负责全乡政务信息公开工作，各部门均明确工作人员，形成上下联动、协调有序、职责明确、共同推进的工作机制。依托区、乡两级信息平台精准推送医疗、就业、安全等领域的政策、公告等信息，制定完善政府信息主动公开、依申请公开和保密审查等相关制度，对应当让社会公众及企业广泛知晓或参与的事项，按照规定的制度和程序，采用方便、快捷的方式及时主动向社会如实公开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二是健全公开机制。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在实际工作中，对涉及多领域多部门的政府信息，依据信息类型，设立由相关职能部门的分管副职牵头，各相关部门直接参与，对相关信息内容进行研究审核，加快办理时效，形成全面、准确的公开意见，尽可能快而全面地公开信息。并定期召开业务培训会暨反馈问题整改会议，开展日常业务培训，有效提升全乡政务公开能力和水平。</w:t>
      </w:r>
    </w:p>
    <w:p>
      <w:pPr>
        <w:ind w:firstLine="643" w:firstLineChars="200"/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  <w:lang w:val="en-US" w:eastAsia="zh-CN"/>
        </w:rPr>
        <w:t>（三）以规范程序为核心，创新政务公开形式</w:t>
      </w:r>
    </w:p>
    <w:p>
      <w:pPr>
        <w:ind w:firstLine="426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一是扎实推进规范公开。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对机构职能、规范性文件、工作制度、工作动态等方面的政府信息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依据《条例》《规定》和其他专门法律法规要求公开，围绕群众普遍关心关注的热点民生领域加大公开力度、增强公开频率，确保内容准确、及时更新，杜绝信息过时和内容混杂，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营造良好氛围，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进一步提高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时效性、便捷性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二是主动拓宽公开渠道。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依托电子屏、宣传栏、公示栏、大喇叭等不同公开形式推送信息，推动村民、企业对各类政策的了解和熟悉。涉及群众切身利益的社会保障、卫生健康、社会治安、就业创业、救助帮扶补贴发放等事宜一律通过公开栏公布，利用微信等即时性、互动性强的新媒体拓宽公开渠道，以多种形式实现信息更新，确保政务动态全面公开，保障人民群众知情权、参与权和监督权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512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645"/>
        <w:gridCol w:w="720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 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4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72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190" w:leftChars="0" w:right="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right="0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今年以来，全乡政府信息公开工作稳步推进，取得一定成绩，同时也存在一些问题：一是部分信息在公开时内容不够全面，公开内容还需进一步完善和细化。二是监督机制还有待于进一步健全、监督力度还有待进一步加强。</w:t>
      </w:r>
    </w:p>
    <w:p>
      <w:pPr>
        <w:numPr>
          <w:ilvl w:val="0"/>
          <w:numId w:val="0"/>
        </w:num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下一步，一平垣乡将会从以下几方面改进和加强政务信息公开工作。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一是持续加强队伍建设。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规范公开程序，以社会需求为导向，选择群众关注度高的信息作为突破口，不断丰富信息公开的内容，同时，加强各站所、科室、行政村的工作联动协调性，坚持定期组织开展政务公开业务培训和研讨交流，保证基础信息数据的全面、规范，全面提升信息公开水平，确保政府信息公开的及时性、准确性和有效性，为深化政府信息公开提供强有力的组织保证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二是创新工作方法和思路，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进一步将政务公开工作细化和完善，注重从公众的视角去谋划、审视和优化公开的内容，强化政府信息公开便民利民。提高政府信息公开工作水平，进一步加大对政府信息公开工作的宣传力度，及时推广政务公开工作动态，不断丰富政府信息公开的内容和形式，保证这项工作健康有序地发展。</w:t>
      </w:r>
    </w:p>
    <w:p>
      <w:pPr>
        <w:numPr>
          <w:ilvl w:val="0"/>
          <w:numId w:val="0"/>
        </w:numPr>
        <w:ind w:firstLine="643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三是健全监督考核机制。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完善常态化检查考核机制，把第三方监测作为有效动力，实施动态管理，发布日常监测整改通报，以监督促公开，以公开促落实。同时，畅通监督渠道，发挥人民的监督作用，推动政府信息公开工作深入开展。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xZDA0Y2YyMzM0MGFkZjllZmRhNzRiZWNlNGQwOGEifQ=="/>
  </w:docVars>
  <w:rsids>
    <w:rsidRoot w:val="32992B74"/>
    <w:rsid w:val="0B195D93"/>
    <w:rsid w:val="2713111B"/>
    <w:rsid w:val="2AF8539D"/>
    <w:rsid w:val="2E4C670C"/>
    <w:rsid w:val="32992B74"/>
    <w:rsid w:val="3B676A99"/>
    <w:rsid w:val="3D0E6BA3"/>
    <w:rsid w:val="4F263EA4"/>
    <w:rsid w:val="4F693DE7"/>
    <w:rsid w:val="5E621C29"/>
    <w:rsid w:val="7246656C"/>
    <w:rsid w:val="744934AE"/>
    <w:rsid w:val="7A34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2022-01-19T08:36:00Z</dcterms:created>
  <dc:creator>Zoe</dc:creator>
  <cp:lastModifiedBy>努力</cp:lastModifiedBy>
  <cp:lastPrinted>2024-01-23T10:02:50Z</cp:lastPrinted>
  <dcterms:modified xsi:type="dcterms:W3CDTF">2024-01-23T10:03:09Z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A1DA4C8EF8044B82BE55CAA85BCB8AA5_13</vt:lpwstr>
  </property>
</Properties>
</file>