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88" w:rsidRPr="009946DE" w:rsidRDefault="00705D88">
      <w:pPr>
        <w:widowControl/>
        <w:spacing w:line="620" w:lineRule="exact"/>
        <w:jc w:val="center"/>
        <w:rPr>
          <w:rFonts w:ascii="方正小标宋简体" w:eastAsia="方正小标宋简体" w:cs="宋体"/>
          <w:bCs/>
          <w:kern w:val="0"/>
          <w:sz w:val="36"/>
          <w:szCs w:val="36"/>
        </w:rPr>
      </w:pPr>
    </w:p>
    <w:p w:rsidR="00705D88" w:rsidRPr="009946DE" w:rsidRDefault="00705D88">
      <w:pPr>
        <w:widowControl/>
        <w:spacing w:line="620" w:lineRule="exact"/>
        <w:jc w:val="center"/>
        <w:rPr>
          <w:rFonts w:ascii="方正小标宋简体" w:eastAsia="方正小标宋简体" w:hAnsi="方正小标宋_GBK" w:cs="方正小标宋_GBK"/>
          <w:bCs/>
          <w:kern w:val="0"/>
          <w:sz w:val="44"/>
          <w:szCs w:val="44"/>
        </w:rPr>
      </w:pPr>
      <w:r w:rsidRPr="009946DE">
        <w:rPr>
          <w:rFonts w:ascii="方正小标宋简体" w:eastAsia="方正小标宋简体" w:hAnsi="方正小标宋_GBK" w:cs="方正小标宋_GBK" w:hint="eastAsia"/>
          <w:bCs/>
          <w:kern w:val="0"/>
          <w:sz w:val="44"/>
          <w:szCs w:val="44"/>
        </w:rPr>
        <w:t>尧都区枕头乡</w:t>
      </w:r>
      <w:r>
        <w:rPr>
          <w:rFonts w:ascii="方正小标宋简体" w:eastAsia="方正小标宋简体" w:hAnsi="方正小标宋_GBK" w:cs="方正小标宋_GBK" w:hint="eastAsia"/>
          <w:bCs/>
          <w:kern w:val="0"/>
          <w:sz w:val="44"/>
          <w:szCs w:val="44"/>
        </w:rPr>
        <w:t>人民政府</w:t>
      </w:r>
    </w:p>
    <w:p w:rsidR="00705D88" w:rsidRPr="009946DE" w:rsidRDefault="00705D88">
      <w:pPr>
        <w:widowControl/>
        <w:spacing w:line="620" w:lineRule="exact"/>
        <w:jc w:val="center"/>
        <w:rPr>
          <w:rFonts w:ascii="方正小标宋简体" w:eastAsia="方正小标宋简体" w:hAnsi="方正小标宋_GBK" w:cs="方正小标宋_GBK"/>
          <w:bCs/>
          <w:kern w:val="0"/>
          <w:sz w:val="44"/>
          <w:szCs w:val="44"/>
        </w:rPr>
      </w:pPr>
      <w:r w:rsidRPr="009946DE">
        <w:rPr>
          <w:rFonts w:ascii="方正小标宋简体" w:eastAsia="方正小标宋简体" w:hAnsi="方正小标宋_GBK" w:cs="方正小标宋_GBK"/>
          <w:bCs/>
          <w:kern w:val="0"/>
          <w:sz w:val="44"/>
          <w:szCs w:val="44"/>
        </w:rPr>
        <w:t>2020</w:t>
      </w:r>
      <w:r w:rsidRPr="009946DE">
        <w:rPr>
          <w:rFonts w:ascii="方正小标宋简体" w:eastAsia="方正小标宋简体" w:hAnsi="方正小标宋_GBK" w:cs="方正小标宋_GBK" w:hint="eastAsia"/>
          <w:bCs/>
          <w:kern w:val="0"/>
          <w:sz w:val="44"/>
          <w:szCs w:val="44"/>
        </w:rPr>
        <w:t>年政府信息公开工作年度报告</w:t>
      </w:r>
    </w:p>
    <w:p w:rsidR="00705D88" w:rsidRDefault="00705D88">
      <w:pPr>
        <w:widowControl/>
        <w:spacing w:line="620" w:lineRule="exact"/>
        <w:jc w:val="center"/>
        <w:rPr>
          <w:rFonts w:ascii="方正小标宋_GBK" w:eastAsia="方正小标宋_GBK" w:hAnsi="方正小标宋_GBK" w:cs="方正小标宋_GBK"/>
          <w:b/>
          <w:bCs/>
          <w:color w:val="333333"/>
          <w:kern w:val="0"/>
          <w:sz w:val="44"/>
          <w:szCs w:val="44"/>
        </w:rPr>
      </w:pPr>
    </w:p>
    <w:p w:rsidR="00705D88" w:rsidRDefault="00705D88" w:rsidP="009946DE">
      <w:pPr>
        <w:widowControl/>
        <w:spacing w:line="620" w:lineRule="exact"/>
        <w:ind w:firstLineChars="200" w:firstLine="31680"/>
        <w:jc w:val="left"/>
        <w:rPr>
          <w:rFonts w:ascii="黑体" w:eastAsia="黑体" w:hAnsi="黑体" w:cs="黑体"/>
          <w:color w:val="333333"/>
          <w:kern w:val="0"/>
          <w:sz w:val="32"/>
          <w:szCs w:val="32"/>
        </w:rPr>
      </w:pPr>
      <w:r>
        <w:rPr>
          <w:rFonts w:ascii="黑体" w:eastAsia="黑体" w:hAnsi="黑体" w:cs="黑体" w:hint="eastAsia"/>
          <w:b/>
          <w:bCs/>
          <w:color w:val="333333"/>
          <w:kern w:val="0"/>
          <w:sz w:val="32"/>
          <w:szCs w:val="32"/>
        </w:rPr>
        <w:t>一、总体情况</w:t>
      </w:r>
    </w:p>
    <w:p w:rsidR="00705D88" w:rsidRDefault="00705D88" w:rsidP="009946DE">
      <w:pPr>
        <w:adjustRightInd w:val="0"/>
        <w:snapToGrid w:val="0"/>
        <w:spacing w:line="620" w:lineRule="exact"/>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枕头乡认真贯彻落实《中华人民共和国政府信息公开条例》，不断规范政府信息公开制度，扎实做好政府信息公开工作，切实保障人民群众的知情权、参与权、监督权、表达权。</w:t>
      </w:r>
    </w:p>
    <w:p w:rsidR="00705D88" w:rsidRDefault="00705D88" w:rsidP="009946DE">
      <w:pPr>
        <w:adjustRightInd w:val="0"/>
        <w:snapToGrid w:val="0"/>
        <w:spacing w:line="620" w:lineRule="exact"/>
        <w:ind w:firstLineChars="200" w:firstLine="31680"/>
        <w:rPr>
          <w:rFonts w:ascii="仿宋_GB2312" w:eastAsia="仿宋_GB2312" w:hAnsi="仿宋" w:cs="仿宋"/>
          <w:sz w:val="32"/>
          <w:szCs w:val="32"/>
        </w:rPr>
      </w:pPr>
      <w:r w:rsidRPr="009946DE">
        <w:rPr>
          <w:rFonts w:ascii="楷体_GB2312" w:eastAsia="楷体_GB2312" w:hAnsi="方正楷体_GB2312" w:cs="方正楷体_GB2312" w:hint="eastAsia"/>
          <w:sz w:val="32"/>
          <w:szCs w:val="32"/>
        </w:rPr>
        <w:t>（一）强化组织领导，适时调整配强工作机</w:t>
      </w:r>
      <w:bookmarkStart w:id="0" w:name="_GoBack"/>
      <w:bookmarkEnd w:id="0"/>
      <w:r w:rsidRPr="009946DE">
        <w:rPr>
          <w:rFonts w:ascii="楷体_GB2312" w:eastAsia="楷体_GB2312" w:hAnsi="方正楷体_GB2312" w:cs="方正楷体_GB2312" w:hint="eastAsia"/>
          <w:sz w:val="32"/>
          <w:szCs w:val="32"/>
        </w:rPr>
        <w:t>构。</w:t>
      </w:r>
      <w:r>
        <w:rPr>
          <w:rFonts w:ascii="仿宋_GB2312" w:eastAsia="仿宋_GB2312" w:hAnsi="仿宋" w:cs="仿宋" w:hint="eastAsia"/>
          <w:sz w:val="32"/>
          <w:szCs w:val="32"/>
        </w:rPr>
        <w:t>我乡按照“主要领导亲自抓，分管领导具体抓，专门机构抓落实”的工作要求，明确了责任分工，根据人员变动和机构改革及时调整了政府信息公开工作领导小组成员，由乡长冯享华任组长，人大主席李荣荣为副组长，党政综合办负责人为领导组办公室主任，各站所负责人、各村村委主任为成员。党政综合办为乡政府信息公开工作受理机构，配专人负责信息公开的登记、审核和发布等工作。</w:t>
      </w:r>
    </w:p>
    <w:p w:rsidR="00705D88" w:rsidRDefault="00705D88" w:rsidP="009946DE">
      <w:pPr>
        <w:adjustRightInd w:val="0"/>
        <w:snapToGrid w:val="0"/>
        <w:spacing w:line="620" w:lineRule="exact"/>
        <w:ind w:firstLineChars="200" w:firstLine="31680"/>
        <w:rPr>
          <w:rFonts w:ascii="仿宋_GB2312" w:eastAsia="仿宋_GB2312" w:hAnsi="仿宋" w:cs="仿宋"/>
          <w:sz w:val="32"/>
          <w:szCs w:val="32"/>
        </w:rPr>
      </w:pPr>
      <w:r w:rsidRPr="009946DE">
        <w:rPr>
          <w:rFonts w:ascii="楷体_GB2312" w:eastAsia="楷体_GB2312" w:hAnsi="方正楷体_GB2312" w:cs="方正楷体_GB2312" w:hint="eastAsia"/>
          <w:sz w:val="32"/>
          <w:szCs w:val="32"/>
        </w:rPr>
        <w:t>（二）加强谋划部署，着力推动工作稳步向前。</w:t>
      </w:r>
      <w:r>
        <w:rPr>
          <w:rFonts w:ascii="仿宋_GB2312" w:eastAsia="仿宋_GB2312" w:hAnsi="仿宋" w:cs="仿宋"/>
          <w:sz w:val="32"/>
          <w:szCs w:val="32"/>
        </w:rPr>
        <w:t>2020</w:t>
      </w:r>
      <w:r>
        <w:rPr>
          <w:rFonts w:ascii="仿宋_GB2312" w:eastAsia="仿宋_GB2312" w:hAnsi="仿宋" w:cs="仿宋" w:hint="eastAsia"/>
          <w:sz w:val="32"/>
          <w:szCs w:val="32"/>
        </w:rPr>
        <w:t>年，枕头乡政府高度重视政府信息公开工作，乡长冯享华多次主持召开会议，研究部署并积极推动政府信息公开工作。领导组办公室认真履行督促检查职能，定期对全乡政府信息公开工作的开展情况特别是重点工作落实进展情况进行督查，并加强工作调研，积极协助乡党委、政府破解难点瓶颈问题。</w:t>
      </w:r>
    </w:p>
    <w:p w:rsidR="00705D88" w:rsidRDefault="00705D88" w:rsidP="009946DE">
      <w:pPr>
        <w:spacing w:line="620" w:lineRule="exact"/>
        <w:ind w:firstLineChars="200" w:firstLine="31680"/>
        <w:jc w:val="left"/>
        <w:rPr>
          <w:rFonts w:ascii="仿宋" w:eastAsia="仿宋" w:hAnsi="仿宋" w:cs="仿宋"/>
          <w:sz w:val="32"/>
          <w:szCs w:val="32"/>
        </w:rPr>
      </w:pPr>
      <w:r w:rsidRPr="009946DE">
        <w:rPr>
          <w:rFonts w:ascii="楷体_GB2312" w:eastAsia="楷体_GB2312" w:hAnsi="方正楷体_GB2312" w:cs="方正楷体_GB2312" w:hint="eastAsia"/>
          <w:sz w:val="32"/>
          <w:szCs w:val="32"/>
        </w:rPr>
        <w:t>（三）聚焦重点，深入推进重要事项信息公开。</w:t>
      </w:r>
      <w:r>
        <w:rPr>
          <w:rFonts w:ascii="仿宋" w:eastAsia="仿宋" w:hAnsi="仿宋" w:cs="仿宋" w:hint="eastAsia"/>
          <w:b/>
          <w:bCs/>
          <w:sz w:val="32"/>
          <w:szCs w:val="32"/>
        </w:rPr>
        <w:t>一是</w:t>
      </w:r>
      <w:r>
        <w:rPr>
          <w:rFonts w:ascii="仿宋" w:eastAsia="仿宋" w:hAnsi="仿宋" w:cs="仿宋" w:hint="eastAsia"/>
          <w:sz w:val="32"/>
          <w:szCs w:val="32"/>
        </w:rPr>
        <w:t>及时公开了机构职能、班子分工情况、离岗告示、站所办公室联系人、便民服务流程等。</w:t>
      </w:r>
      <w:r>
        <w:rPr>
          <w:rFonts w:ascii="仿宋" w:eastAsia="仿宋" w:hAnsi="仿宋" w:cs="仿宋" w:hint="eastAsia"/>
          <w:b/>
          <w:bCs/>
          <w:sz w:val="32"/>
          <w:szCs w:val="32"/>
        </w:rPr>
        <w:t>二是</w:t>
      </w:r>
      <w:r>
        <w:rPr>
          <w:rFonts w:ascii="仿宋" w:eastAsia="仿宋" w:hAnsi="仿宋" w:cs="仿宋" w:hint="eastAsia"/>
          <w:sz w:val="32"/>
          <w:szCs w:val="32"/>
        </w:rPr>
        <w:t>依照上级规定及时制定我乡试点领域基层政务公开标准目录和政府信息公开基本目录，报上级部门审核后及时依法依规进行信息公开。</w:t>
      </w:r>
      <w:r>
        <w:rPr>
          <w:rFonts w:ascii="仿宋" w:eastAsia="仿宋" w:hAnsi="仿宋" w:hint="eastAsia"/>
          <w:sz w:val="32"/>
          <w:szCs w:val="32"/>
        </w:rPr>
        <w:t>自</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日起至</w:t>
      </w:r>
      <w:r>
        <w:rPr>
          <w:rFonts w:ascii="仿宋" w:eastAsia="仿宋" w:hAnsi="仿宋"/>
          <w:sz w:val="32"/>
          <w:szCs w:val="32"/>
        </w:rPr>
        <w:t>2020</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日，我乡主要通过乡、村政务公开栏、会议通报、印发文件、发放宣传资料等形式，将一批涉及民生、重点项目等信息主动向社会公开。</w:t>
      </w:r>
      <w:r>
        <w:rPr>
          <w:rFonts w:ascii="仿宋" w:eastAsia="仿宋" w:hAnsi="仿宋"/>
          <w:sz w:val="32"/>
          <w:szCs w:val="32"/>
        </w:rPr>
        <w:t>2020</w:t>
      </w:r>
      <w:r>
        <w:rPr>
          <w:rFonts w:ascii="仿宋" w:eastAsia="仿宋" w:hAnsi="仿宋" w:hint="eastAsia"/>
          <w:sz w:val="32"/>
          <w:szCs w:val="32"/>
        </w:rPr>
        <w:t>年我乡政府信息公开总计</w:t>
      </w:r>
      <w:r>
        <w:rPr>
          <w:rFonts w:ascii="仿宋" w:eastAsia="仿宋" w:hAnsi="仿宋"/>
          <w:sz w:val="32"/>
          <w:szCs w:val="32"/>
        </w:rPr>
        <w:t>379</w:t>
      </w:r>
      <w:r>
        <w:rPr>
          <w:rFonts w:ascii="仿宋" w:eastAsia="仿宋" w:hAnsi="仿宋" w:hint="eastAsia"/>
          <w:sz w:val="32"/>
          <w:szCs w:val="32"/>
        </w:rPr>
        <w:t>条，其中：制定印发党政红头文件</w:t>
      </w:r>
      <w:r>
        <w:rPr>
          <w:rFonts w:ascii="仿宋" w:eastAsia="仿宋" w:hAnsi="仿宋"/>
          <w:sz w:val="32"/>
          <w:szCs w:val="32"/>
        </w:rPr>
        <w:t>137</w:t>
      </w:r>
      <w:r>
        <w:rPr>
          <w:rFonts w:ascii="仿宋" w:eastAsia="仿宋" w:hAnsi="仿宋" w:hint="eastAsia"/>
          <w:sz w:val="32"/>
          <w:szCs w:val="32"/>
        </w:rPr>
        <w:t>份，财务公开</w:t>
      </w:r>
      <w:r>
        <w:rPr>
          <w:rFonts w:ascii="仿宋" w:eastAsia="仿宋" w:hAnsi="仿宋"/>
          <w:sz w:val="32"/>
          <w:szCs w:val="32"/>
        </w:rPr>
        <w:t>57</w:t>
      </w:r>
      <w:r>
        <w:rPr>
          <w:rFonts w:ascii="仿宋" w:eastAsia="仿宋" w:hAnsi="仿宋" w:hint="eastAsia"/>
          <w:sz w:val="32"/>
          <w:szCs w:val="32"/>
        </w:rPr>
        <w:t>条（次），村务公开</w:t>
      </w:r>
      <w:r>
        <w:rPr>
          <w:rFonts w:ascii="仿宋" w:eastAsia="仿宋" w:hAnsi="仿宋"/>
          <w:sz w:val="32"/>
          <w:szCs w:val="32"/>
        </w:rPr>
        <w:t>185</w:t>
      </w:r>
      <w:r>
        <w:rPr>
          <w:rFonts w:ascii="仿宋" w:eastAsia="仿宋" w:hAnsi="仿宋" w:hint="eastAsia"/>
          <w:sz w:val="32"/>
          <w:szCs w:val="32"/>
        </w:rPr>
        <w:t>条。</w:t>
      </w:r>
    </w:p>
    <w:p w:rsidR="00705D88" w:rsidRDefault="00705D88" w:rsidP="009946DE">
      <w:pPr>
        <w:adjustRightInd w:val="0"/>
        <w:snapToGrid w:val="0"/>
        <w:spacing w:line="620" w:lineRule="exact"/>
        <w:ind w:firstLineChars="200" w:firstLine="31680"/>
        <w:rPr>
          <w:rFonts w:ascii="仿宋" w:eastAsia="仿宋" w:hAnsi="仿宋" w:cs="仿宋"/>
          <w:sz w:val="32"/>
          <w:szCs w:val="32"/>
        </w:rPr>
      </w:pPr>
      <w:r w:rsidRPr="009946DE">
        <w:rPr>
          <w:rFonts w:ascii="楷体_GB2312" w:eastAsia="楷体_GB2312" w:hAnsi="方正楷体_GB2312" w:cs="方正楷体_GB2312" w:hint="eastAsia"/>
          <w:sz w:val="32"/>
          <w:szCs w:val="32"/>
        </w:rPr>
        <w:t>（四）拓宽渠道，极大地丰富了获取途径。</w:t>
      </w:r>
      <w:r>
        <w:rPr>
          <w:rFonts w:ascii="仿宋" w:eastAsia="仿宋" w:hAnsi="仿宋" w:cs="仿宋" w:hint="eastAsia"/>
          <w:sz w:val="32"/>
          <w:szCs w:val="32"/>
        </w:rPr>
        <w:t>对于政府信息公开，同时通过宣传栏、发放宣传材料等多种形式开展。对于情况特殊的村民，如身体状况欠佳，无法及时掌握信息动态的，还采取包村干部入户和手机微信、短信等方式进行公开。在涉及群众切身利益的政府信息公示上，各村建立了村务公开栏，村务公开栏在公开村务的同时，也设立了乡财政收支公开以及下行的政策法律法规等内容的公开栏目，村务公开形成了政务公开的一条延伸渠道，极大的丰富了政府信息公开工作的方法、种类和内容。</w:t>
      </w:r>
    </w:p>
    <w:p w:rsidR="00705D88" w:rsidRDefault="00705D88" w:rsidP="009946DE">
      <w:pPr>
        <w:adjustRightInd w:val="0"/>
        <w:snapToGrid w:val="0"/>
        <w:spacing w:line="620" w:lineRule="exact"/>
        <w:ind w:firstLineChars="200" w:firstLine="31680"/>
        <w:rPr>
          <w:rFonts w:ascii="仿宋" w:eastAsia="仿宋" w:hAnsi="仿宋" w:cs="仿宋"/>
          <w:sz w:val="32"/>
          <w:szCs w:val="32"/>
        </w:rPr>
      </w:pPr>
      <w:r w:rsidRPr="009946DE">
        <w:rPr>
          <w:rFonts w:ascii="楷体_GB2312" w:eastAsia="楷体_GB2312" w:hAnsi="方正楷体_GB2312" w:cs="方正楷体_GB2312" w:hint="eastAsia"/>
          <w:sz w:val="32"/>
          <w:szCs w:val="32"/>
        </w:rPr>
        <w:t>（五）深化主动公开，切实增强公开实效。</w:t>
      </w:r>
      <w:r>
        <w:rPr>
          <w:rFonts w:ascii="仿宋" w:eastAsia="仿宋" w:hAnsi="仿宋" w:cs="仿宋"/>
          <w:sz w:val="32"/>
          <w:szCs w:val="32"/>
        </w:rPr>
        <w:t>2020</w:t>
      </w:r>
      <w:r>
        <w:rPr>
          <w:rFonts w:ascii="仿宋" w:eastAsia="仿宋" w:hAnsi="仿宋" w:cs="仿宋" w:hint="eastAsia"/>
          <w:sz w:val="32"/>
          <w:szCs w:val="32"/>
        </w:rPr>
        <w:t>年，全乡不断扩大信息公开范围，细化信息公开内容，积极与全乡村民互动，有效满足群众的政府信息需求。对涉及公共利益、公众权益、社会关切及需要社会广泛知晓的政府信息，能够做到依法、全面、准确、及时公开，同时，不断加强政策解读力度，紧紧围绕全乡的中心工作和涉及民生的各项重要政策，认真做好解读和回应工作，有效增强了政府信息主动公开的实效性。</w:t>
      </w:r>
    </w:p>
    <w:p w:rsidR="00705D88" w:rsidRDefault="00705D88" w:rsidP="009946DE">
      <w:pPr>
        <w:widowControl/>
        <w:spacing w:line="620" w:lineRule="exact"/>
        <w:ind w:firstLineChars="200" w:firstLine="31680"/>
        <w:jc w:val="left"/>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二、主动公开政府信息情况</w:t>
      </w:r>
    </w:p>
    <w:tbl>
      <w:tblPr>
        <w:tblW w:w="8140" w:type="dxa"/>
        <w:jc w:val="center"/>
        <w:tblLook w:val="00A0"/>
      </w:tblPr>
      <w:tblGrid>
        <w:gridCol w:w="3113"/>
        <w:gridCol w:w="1875"/>
        <w:gridCol w:w="6"/>
        <w:gridCol w:w="1265"/>
        <w:gridCol w:w="1881"/>
      </w:tblGrid>
      <w:tr w:rsidR="00705D88">
        <w:trPr>
          <w:trHeight w:val="495"/>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第二十条第（一）项</w:t>
            </w:r>
          </w:p>
        </w:tc>
      </w:tr>
      <w:tr w:rsidR="00705D88">
        <w:trPr>
          <w:trHeight w:val="1046"/>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color w:val="333333"/>
                <w:kern w:val="0"/>
                <w:sz w:val="20"/>
                <w:szCs w:val="20"/>
              </w:rPr>
              <w:t>制作数量</w:t>
            </w:r>
          </w:p>
        </w:tc>
        <w:tc>
          <w:tcPr>
            <w:tcW w:w="1271" w:type="dxa"/>
            <w:gridSpan w:val="2"/>
            <w:tcBorders>
              <w:top w:val="single" w:sz="4" w:space="0" w:color="auto"/>
              <w:left w:val="nil"/>
              <w:bottom w:val="single" w:sz="4" w:space="0" w:color="auto"/>
              <w:right w:val="single" w:sz="4" w:space="0" w:color="auto"/>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color w:val="333333"/>
                <w:kern w:val="0"/>
                <w:sz w:val="20"/>
                <w:szCs w:val="20"/>
              </w:rPr>
              <w:t>公开数量</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对外公开总数量</w:t>
            </w:r>
          </w:p>
        </w:tc>
      </w:tr>
      <w:tr w:rsidR="00705D88">
        <w:trPr>
          <w:trHeight w:val="523"/>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规章</w:t>
            </w:r>
          </w:p>
        </w:tc>
        <w:tc>
          <w:tcPr>
            <w:tcW w:w="1875" w:type="dxa"/>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271" w:type="dxa"/>
            <w:gridSpan w:val="2"/>
            <w:tcBorders>
              <w:top w:val="single" w:sz="4" w:space="0" w:color="auto"/>
              <w:left w:val="nil"/>
              <w:bottom w:val="single" w:sz="4" w:space="0" w:color="auto"/>
              <w:right w:val="single" w:sz="4" w:space="0" w:color="auto"/>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Calibri"/>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r>
      <w:tr w:rsidR="00705D88">
        <w:trPr>
          <w:trHeight w:val="471"/>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color w:val="000000"/>
                <w:kern w:val="0"/>
                <w:sz w:val="20"/>
                <w:szCs w:val="20"/>
              </w:rPr>
              <w:t>0</w:t>
            </w:r>
          </w:p>
        </w:tc>
        <w:tc>
          <w:tcPr>
            <w:tcW w:w="1271" w:type="dxa"/>
            <w:gridSpan w:val="2"/>
            <w:tcBorders>
              <w:top w:val="nil"/>
              <w:left w:val="nil"/>
              <w:bottom w:val="single" w:sz="4" w:space="0" w:color="auto"/>
              <w:right w:val="single" w:sz="4" w:space="0" w:color="auto"/>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Calibri"/>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color w:val="000000"/>
                <w:kern w:val="0"/>
                <w:sz w:val="20"/>
                <w:szCs w:val="20"/>
              </w:rPr>
              <w:t>0</w:t>
            </w:r>
          </w:p>
        </w:tc>
      </w:tr>
      <w:tr w:rsidR="00705D88">
        <w:trPr>
          <w:trHeight w:val="480"/>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第二十条第（五）项</w:t>
            </w:r>
          </w:p>
        </w:tc>
      </w:tr>
      <w:tr w:rsidR="00705D88">
        <w:trPr>
          <w:trHeight w:val="818"/>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处理决定数量</w:t>
            </w:r>
          </w:p>
        </w:tc>
      </w:tr>
      <w:tr w:rsidR="00705D88">
        <w:trPr>
          <w:trHeight w:val="528"/>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r>
      <w:tr w:rsidR="00705D88">
        <w:trPr>
          <w:trHeight w:val="550"/>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r>
      <w:tr w:rsidR="00705D88">
        <w:trPr>
          <w:trHeight w:val="40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第二十条第（六）项</w:t>
            </w:r>
          </w:p>
        </w:tc>
      </w:tr>
      <w:tr w:rsidR="00705D88">
        <w:trPr>
          <w:trHeight w:val="634"/>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信息内容</w:t>
            </w:r>
          </w:p>
        </w:tc>
        <w:tc>
          <w:tcPr>
            <w:tcW w:w="1875" w:type="dxa"/>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上一年项目数量</w:t>
            </w:r>
          </w:p>
        </w:tc>
        <w:tc>
          <w:tcPr>
            <w:tcW w:w="1271" w:type="dxa"/>
            <w:gridSpan w:val="2"/>
            <w:tcBorders>
              <w:top w:val="single" w:sz="4" w:space="0" w:color="auto"/>
              <w:left w:val="nil"/>
              <w:bottom w:val="single" w:sz="4" w:space="0" w:color="auto"/>
              <w:right w:val="single" w:sz="4" w:space="0" w:color="auto"/>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处理决定数量</w:t>
            </w:r>
          </w:p>
        </w:tc>
      </w:tr>
      <w:tr w:rsidR="00705D88">
        <w:trPr>
          <w:trHeight w:val="430"/>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行政处罚</w:t>
            </w:r>
          </w:p>
        </w:tc>
        <w:tc>
          <w:tcPr>
            <w:tcW w:w="1881" w:type="dxa"/>
            <w:gridSpan w:val="2"/>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265" w:type="dxa"/>
            <w:tcBorders>
              <w:top w:val="single" w:sz="4" w:space="0" w:color="auto"/>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r>
      <w:tr w:rsidR="00705D88">
        <w:trPr>
          <w:trHeight w:val="409"/>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265"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1881" w:type="dxa"/>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r>
      <w:tr w:rsidR="00705D88">
        <w:trPr>
          <w:trHeight w:val="474"/>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第二十条第（八）项</w:t>
            </w:r>
          </w:p>
        </w:tc>
      </w:tr>
      <w:tr w:rsidR="00705D88">
        <w:trPr>
          <w:trHeight w:val="270"/>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上一年项目数量</w:t>
            </w:r>
          </w:p>
        </w:tc>
        <w:tc>
          <w:tcPr>
            <w:tcW w:w="3146" w:type="dxa"/>
            <w:gridSpan w:val="2"/>
            <w:tcBorders>
              <w:top w:val="single" w:sz="4" w:space="0" w:color="auto"/>
              <w:left w:val="nil"/>
              <w:bottom w:val="single" w:sz="4" w:space="0" w:color="auto"/>
              <w:right w:val="single" w:sz="4" w:space="0" w:color="000000"/>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705D88">
        <w:trPr>
          <w:trHeight w:val="551"/>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Calibri"/>
                <w:color w:val="000000"/>
                <w:kern w:val="0"/>
                <w:sz w:val="20"/>
                <w:szCs w:val="20"/>
              </w:rPr>
              <w:t>0</w:t>
            </w:r>
          </w:p>
        </w:tc>
      </w:tr>
      <w:tr w:rsidR="00705D88">
        <w:trPr>
          <w:trHeight w:val="476"/>
          <w:jc w:val="center"/>
        </w:trPr>
        <w:tc>
          <w:tcPr>
            <w:tcW w:w="8140" w:type="dxa"/>
            <w:gridSpan w:val="5"/>
            <w:tcBorders>
              <w:top w:val="single" w:sz="4" w:space="0" w:color="auto"/>
              <w:left w:val="single" w:sz="4" w:space="0" w:color="auto"/>
              <w:bottom w:val="single" w:sz="4" w:space="0" w:color="auto"/>
              <w:right w:val="single" w:sz="4" w:space="0" w:color="auto"/>
            </w:tcBorders>
            <w:shd w:val="clear" w:color="auto" w:fill="C6D9F1"/>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第二十条第（九）项</w:t>
            </w:r>
          </w:p>
        </w:tc>
      </w:tr>
      <w:tr w:rsidR="00705D88">
        <w:trPr>
          <w:trHeight w:val="585"/>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采购项目数量</w:t>
            </w:r>
          </w:p>
        </w:tc>
        <w:tc>
          <w:tcPr>
            <w:tcW w:w="3146" w:type="dxa"/>
            <w:gridSpan w:val="2"/>
            <w:tcBorders>
              <w:top w:val="single" w:sz="4" w:space="0" w:color="auto"/>
              <w:left w:val="nil"/>
              <w:bottom w:val="single" w:sz="4" w:space="0" w:color="auto"/>
              <w:right w:val="single" w:sz="4" w:space="0" w:color="000000"/>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采购总金额</w:t>
            </w:r>
          </w:p>
        </w:tc>
      </w:tr>
      <w:tr w:rsidR="00705D88">
        <w:trPr>
          <w:trHeight w:val="539"/>
          <w:jc w:val="center"/>
        </w:trPr>
        <w:tc>
          <w:tcPr>
            <w:tcW w:w="3113" w:type="dxa"/>
            <w:tcBorders>
              <w:top w:val="nil"/>
              <w:left w:val="single" w:sz="4" w:space="0" w:color="auto"/>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4" w:space="0" w:color="auto"/>
              <w:right w:val="single" w:sz="4" w:space="0" w:color="auto"/>
            </w:tcBorders>
            <w:noWrap/>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cs="宋体"/>
                <w:color w:val="000000"/>
                <w:kern w:val="0"/>
                <w:sz w:val="20"/>
                <w:szCs w:val="20"/>
              </w:rPr>
              <w:t>0</w:t>
            </w:r>
          </w:p>
        </w:tc>
        <w:tc>
          <w:tcPr>
            <w:tcW w:w="3146" w:type="dxa"/>
            <w:gridSpan w:val="2"/>
            <w:tcBorders>
              <w:top w:val="single" w:sz="4" w:space="0" w:color="auto"/>
              <w:left w:val="nil"/>
              <w:bottom w:val="single" w:sz="4" w:space="0" w:color="auto"/>
              <w:right w:val="single" w:sz="4" w:space="0" w:color="000000"/>
            </w:tcBorders>
            <w:noWrap/>
            <w:vAlign w:val="center"/>
          </w:tcPr>
          <w:p w:rsidR="00705D88" w:rsidRDefault="00705D88">
            <w:pPr>
              <w:widowControl/>
              <w:spacing w:line="620" w:lineRule="exact"/>
              <w:jc w:val="center"/>
              <w:rPr>
                <w:rFonts w:ascii="宋体" w:cs="宋体"/>
                <w:color w:val="333333"/>
                <w:kern w:val="0"/>
                <w:szCs w:val="21"/>
              </w:rPr>
            </w:pPr>
            <w:r>
              <w:rPr>
                <w:rFonts w:ascii="宋体" w:cs="宋体"/>
                <w:color w:val="333333"/>
                <w:kern w:val="0"/>
                <w:szCs w:val="21"/>
              </w:rPr>
              <w:t>0</w:t>
            </w:r>
          </w:p>
        </w:tc>
      </w:tr>
    </w:tbl>
    <w:p w:rsidR="00705D88" w:rsidRDefault="00705D88" w:rsidP="00705D88">
      <w:pPr>
        <w:widowControl/>
        <w:spacing w:line="620" w:lineRule="exact"/>
        <w:ind w:firstLineChars="200" w:firstLine="31680"/>
        <w:jc w:val="left"/>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三、收到和处理政府信息公开申请情况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4"/>
        <w:gridCol w:w="855"/>
        <w:gridCol w:w="2130"/>
        <w:gridCol w:w="825"/>
        <w:gridCol w:w="765"/>
        <w:gridCol w:w="765"/>
        <w:gridCol w:w="825"/>
        <w:gridCol w:w="990"/>
        <w:gridCol w:w="720"/>
        <w:gridCol w:w="702"/>
      </w:tblGrid>
      <w:tr w:rsidR="00705D88">
        <w:trPr>
          <w:jc w:val="center"/>
        </w:trPr>
        <w:tc>
          <w:tcPr>
            <w:tcW w:w="3479" w:type="dxa"/>
            <w:gridSpan w:val="3"/>
            <w:vMerge w:val="restart"/>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（本列数据的勾稽关系为：第一项加第二项之和，等于第三项加第四项之和）</w:t>
            </w:r>
          </w:p>
        </w:tc>
        <w:tc>
          <w:tcPr>
            <w:tcW w:w="5592" w:type="dxa"/>
            <w:gridSpan w:val="7"/>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申请人情况</w:t>
            </w:r>
          </w:p>
        </w:tc>
      </w:tr>
      <w:tr w:rsidR="00705D88">
        <w:trPr>
          <w:jc w:val="center"/>
        </w:trPr>
        <w:tc>
          <w:tcPr>
            <w:tcW w:w="3479" w:type="dxa"/>
            <w:gridSpan w:val="3"/>
            <w:vMerge/>
            <w:vAlign w:val="center"/>
          </w:tcPr>
          <w:p w:rsidR="00705D88" w:rsidRDefault="00705D88">
            <w:pPr>
              <w:widowControl/>
              <w:spacing w:line="620" w:lineRule="exact"/>
              <w:jc w:val="center"/>
              <w:rPr>
                <w:rFonts w:ascii="宋体" w:cs="宋体"/>
                <w:color w:val="333333"/>
                <w:kern w:val="0"/>
                <w:sz w:val="24"/>
              </w:rPr>
            </w:pPr>
          </w:p>
        </w:tc>
        <w:tc>
          <w:tcPr>
            <w:tcW w:w="825" w:type="dxa"/>
            <w:vMerge w:val="restart"/>
            <w:tcBorders>
              <w:top w:val="nil"/>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自然人</w:t>
            </w:r>
          </w:p>
        </w:tc>
        <w:tc>
          <w:tcPr>
            <w:tcW w:w="4065" w:type="dxa"/>
            <w:gridSpan w:val="5"/>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法人或其他组织</w:t>
            </w:r>
          </w:p>
        </w:tc>
        <w:tc>
          <w:tcPr>
            <w:tcW w:w="702" w:type="dxa"/>
            <w:vMerge w:val="restart"/>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总计</w:t>
            </w:r>
          </w:p>
        </w:tc>
      </w:tr>
      <w:tr w:rsidR="00705D88">
        <w:trPr>
          <w:jc w:val="center"/>
        </w:trPr>
        <w:tc>
          <w:tcPr>
            <w:tcW w:w="3479" w:type="dxa"/>
            <w:gridSpan w:val="3"/>
            <w:vMerge/>
            <w:vAlign w:val="center"/>
          </w:tcPr>
          <w:p w:rsidR="00705D88" w:rsidRDefault="00705D88">
            <w:pPr>
              <w:widowControl/>
              <w:spacing w:line="620" w:lineRule="exact"/>
              <w:jc w:val="center"/>
              <w:rPr>
                <w:rFonts w:ascii="宋体" w:cs="宋体"/>
                <w:color w:val="333333"/>
                <w:kern w:val="0"/>
                <w:sz w:val="24"/>
              </w:rPr>
            </w:pPr>
          </w:p>
        </w:tc>
        <w:tc>
          <w:tcPr>
            <w:tcW w:w="82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76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商业企业</w:t>
            </w:r>
          </w:p>
        </w:tc>
        <w:tc>
          <w:tcPr>
            <w:tcW w:w="76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科研机构</w:t>
            </w:r>
          </w:p>
        </w:tc>
        <w:tc>
          <w:tcPr>
            <w:tcW w:w="82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社会公益组织</w:t>
            </w:r>
          </w:p>
        </w:tc>
        <w:tc>
          <w:tcPr>
            <w:tcW w:w="99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法律服务机构</w:t>
            </w:r>
          </w:p>
        </w:tc>
        <w:tc>
          <w:tcPr>
            <w:tcW w:w="72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其他</w:t>
            </w:r>
          </w:p>
        </w:tc>
        <w:tc>
          <w:tcPr>
            <w:tcW w:w="702" w:type="dxa"/>
            <w:vMerge/>
            <w:tcBorders>
              <w:left w:val="nil"/>
            </w:tcBorders>
            <w:vAlign w:val="center"/>
          </w:tcPr>
          <w:p w:rsidR="00705D88" w:rsidRDefault="00705D88">
            <w:pPr>
              <w:widowControl/>
              <w:spacing w:line="620" w:lineRule="exact"/>
              <w:jc w:val="center"/>
              <w:rPr>
                <w:rFonts w:ascii="宋体" w:cs="宋体"/>
                <w:color w:val="333333"/>
                <w:kern w:val="0"/>
                <w:sz w:val="24"/>
              </w:rPr>
            </w:pPr>
          </w:p>
        </w:tc>
      </w:tr>
      <w:tr w:rsidR="00705D88">
        <w:trPr>
          <w:trHeight w:val="511"/>
          <w:jc w:val="center"/>
        </w:trPr>
        <w:tc>
          <w:tcPr>
            <w:tcW w:w="3479" w:type="dxa"/>
            <w:gridSpan w:val="3"/>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一、本年新收政府信息公开申请数量</w:t>
            </w:r>
          </w:p>
        </w:tc>
        <w:tc>
          <w:tcPr>
            <w:tcW w:w="82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3479" w:type="dxa"/>
            <w:gridSpan w:val="3"/>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二、上年结转政府信息公开申请数量</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val="restart"/>
            <w:tcBorders>
              <w:top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三、本年度办理结果</w:t>
            </w:r>
          </w:p>
        </w:tc>
        <w:tc>
          <w:tcPr>
            <w:tcW w:w="2985" w:type="dxa"/>
            <w:gridSpan w:val="2"/>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hint="eastAsia"/>
                <w:color w:val="333333"/>
                <w:sz w:val="20"/>
                <w:szCs w:val="20"/>
              </w:rPr>
              <w:t>（一）予以公开</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2985" w:type="dxa"/>
            <w:gridSpan w:val="2"/>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hint="eastAsia"/>
                <w:color w:val="333333"/>
                <w:sz w:val="20"/>
                <w:szCs w:val="20"/>
              </w:rPr>
              <w:t>（二）部分公开（区分处理的，只计这一情形，不计其他情形）</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val="restart"/>
            <w:tcBorders>
              <w:top w:val="nil"/>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hint="eastAsia"/>
                <w:color w:val="333333"/>
                <w:sz w:val="20"/>
                <w:szCs w:val="20"/>
              </w:rPr>
              <w:t>（三）不予公开</w:t>
            </w: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1.</w:t>
            </w:r>
            <w:r>
              <w:rPr>
                <w:rFonts w:ascii="楷体" w:eastAsia="楷体" w:hAnsi="楷体" w:cs="宋体" w:hint="eastAsia"/>
                <w:color w:val="333333"/>
                <w:sz w:val="20"/>
                <w:szCs w:val="20"/>
              </w:rPr>
              <w:t>属于国家秘密</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2.</w:t>
            </w:r>
            <w:r>
              <w:rPr>
                <w:rFonts w:ascii="楷体" w:eastAsia="楷体" w:hAnsi="楷体" w:cs="宋体" w:hint="eastAsia"/>
                <w:color w:val="333333"/>
                <w:sz w:val="20"/>
                <w:szCs w:val="20"/>
              </w:rPr>
              <w:t>其他法律行政法规禁止公开</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3.</w:t>
            </w:r>
            <w:r>
              <w:rPr>
                <w:rFonts w:ascii="楷体" w:eastAsia="楷体" w:hAnsi="楷体" w:cs="宋体" w:hint="eastAsia"/>
                <w:color w:val="333333"/>
                <w:sz w:val="20"/>
                <w:szCs w:val="20"/>
              </w:rPr>
              <w:t>危及“三安全一稳定”</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4.</w:t>
            </w:r>
            <w:r>
              <w:rPr>
                <w:rFonts w:ascii="楷体" w:eastAsia="楷体" w:hAnsi="楷体" w:cs="宋体" w:hint="eastAsia"/>
                <w:color w:val="333333"/>
                <w:sz w:val="20"/>
                <w:szCs w:val="20"/>
              </w:rPr>
              <w:t>保护第三方合法权益</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5.</w:t>
            </w:r>
            <w:r>
              <w:rPr>
                <w:rFonts w:ascii="楷体" w:eastAsia="楷体" w:hAnsi="楷体" w:cs="宋体" w:hint="eastAsia"/>
                <w:color w:val="333333"/>
                <w:sz w:val="20"/>
                <w:szCs w:val="20"/>
              </w:rPr>
              <w:t>属于三类内部事务信息</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6.</w:t>
            </w:r>
            <w:r>
              <w:rPr>
                <w:rFonts w:ascii="楷体" w:eastAsia="楷体" w:hAnsi="楷体" w:cs="宋体" w:hint="eastAsia"/>
                <w:color w:val="333333"/>
                <w:sz w:val="20"/>
                <w:szCs w:val="20"/>
              </w:rPr>
              <w:t>属于四类过程性信息</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7.</w:t>
            </w:r>
            <w:r>
              <w:rPr>
                <w:rFonts w:ascii="楷体" w:eastAsia="楷体" w:hAnsi="楷体" w:cs="宋体" w:hint="eastAsia"/>
                <w:color w:val="333333"/>
                <w:sz w:val="20"/>
                <w:szCs w:val="20"/>
              </w:rPr>
              <w:t>属于行政执法案卷</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8.</w:t>
            </w:r>
            <w:r>
              <w:rPr>
                <w:rFonts w:ascii="楷体" w:eastAsia="楷体" w:hAnsi="楷体" w:cs="宋体" w:hint="eastAsia"/>
                <w:color w:val="333333"/>
                <w:sz w:val="20"/>
                <w:szCs w:val="20"/>
              </w:rPr>
              <w:t>属于行政查询事项</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val="restart"/>
            <w:tcBorders>
              <w:top w:val="nil"/>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hint="eastAsia"/>
                <w:color w:val="333333"/>
                <w:sz w:val="20"/>
                <w:szCs w:val="20"/>
              </w:rPr>
              <w:t>（四）无法提供</w:t>
            </w: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1.</w:t>
            </w:r>
            <w:r>
              <w:rPr>
                <w:rFonts w:ascii="楷体" w:eastAsia="楷体" w:hAnsi="楷体" w:cs="宋体" w:hint="eastAsia"/>
                <w:color w:val="333333"/>
                <w:sz w:val="20"/>
                <w:szCs w:val="20"/>
              </w:rPr>
              <w:t>本机关不掌握相关政府信息</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2.</w:t>
            </w:r>
            <w:r>
              <w:rPr>
                <w:rFonts w:ascii="楷体" w:eastAsia="楷体" w:hAnsi="楷体" w:cs="宋体" w:hint="eastAsia"/>
                <w:color w:val="333333"/>
                <w:sz w:val="20"/>
                <w:szCs w:val="20"/>
              </w:rPr>
              <w:t>没有现成信息需要另行制作</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color w:val="333333"/>
                <w:sz w:val="20"/>
                <w:szCs w:val="20"/>
              </w:rPr>
              <w:t>3.</w:t>
            </w:r>
            <w:r>
              <w:rPr>
                <w:rFonts w:ascii="楷体" w:eastAsia="楷体" w:hAnsi="楷体" w:cs="宋体" w:hint="eastAsia"/>
                <w:color w:val="333333"/>
                <w:sz w:val="20"/>
                <w:szCs w:val="20"/>
              </w:rPr>
              <w:t>补正后申请内容仍不明确</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val="restart"/>
            <w:tcBorders>
              <w:top w:val="nil"/>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楷体" w:eastAsia="楷体" w:hAnsi="楷体" w:cs="宋体" w:hint="eastAsia"/>
                <w:color w:val="333333"/>
                <w:sz w:val="20"/>
                <w:szCs w:val="20"/>
              </w:rPr>
              <w:t>（五）不予处理</w:t>
            </w:r>
          </w:p>
        </w:tc>
        <w:tc>
          <w:tcPr>
            <w:tcW w:w="213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color w:val="333333"/>
                <w:sz w:val="20"/>
                <w:szCs w:val="20"/>
              </w:rPr>
              <w:t>1.</w:t>
            </w:r>
            <w:r>
              <w:rPr>
                <w:rFonts w:ascii="楷体" w:eastAsia="楷体" w:hAnsi="楷体" w:cs="宋体" w:hint="eastAsia"/>
                <w:color w:val="333333"/>
                <w:sz w:val="20"/>
                <w:szCs w:val="20"/>
              </w:rPr>
              <w:t>信访举报投诉类申请</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color w:val="333333"/>
                <w:sz w:val="20"/>
                <w:szCs w:val="20"/>
              </w:rPr>
              <w:t>2.</w:t>
            </w:r>
            <w:r>
              <w:rPr>
                <w:rFonts w:ascii="楷体" w:eastAsia="楷体" w:hAnsi="楷体" w:cs="宋体" w:hint="eastAsia"/>
                <w:color w:val="333333"/>
                <w:sz w:val="20"/>
                <w:szCs w:val="20"/>
              </w:rPr>
              <w:t>重复申请</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color w:val="333333"/>
                <w:sz w:val="20"/>
                <w:szCs w:val="20"/>
              </w:rPr>
              <w:t>3.</w:t>
            </w:r>
            <w:r>
              <w:rPr>
                <w:rFonts w:ascii="楷体" w:eastAsia="楷体" w:hAnsi="楷体" w:cs="宋体" w:hint="eastAsia"/>
                <w:color w:val="333333"/>
                <w:sz w:val="20"/>
                <w:szCs w:val="20"/>
              </w:rPr>
              <w:t>要求提供公开出版物</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color w:val="333333"/>
                <w:sz w:val="20"/>
                <w:szCs w:val="20"/>
              </w:rPr>
              <w:t>4.</w:t>
            </w:r>
            <w:r>
              <w:rPr>
                <w:rFonts w:ascii="楷体" w:eastAsia="楷体" w:hAnsi="楷体" w:cs="宋体" w:hint="eastAsia"/>
                <w:color w:val="333333"/>
                <w:sz w:val="20"/>
                <w:szCs w:val="20"/>
              </w:rPr>
              <w:t>无正当理由大量反复申请</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855" w:type="dxa"/>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213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color w:val="333333"/>
                <w:sz w:val="20"/>
                <w:szCs w:val="20"/>
              </w:rPr>
              <w:t>5.</w:t>
            </w:r>
            <w:r>
              <w:rPr>
                <w:rFonts w:ascii="楷体" w:eastAsia="楷体" w:hAnsi="楷体" w:cs="宋体" w:hint="eastAsia"/>
                <w:color w:val="333333"/>
                <w:sz w:val="20"/>
                <w:szCs w:val="20"/>
              </w:rPr>
              <w:t>要求行政机关确认或重新出具已获取信息</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2985" w:type="dxa"/>
            <w:gridSpan w:val="2"/>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hint="eastAsia"/>
                <w:color w:val="333333"/>
                <w:sz w:val="20"/>
                <w:szCs w:val="20"/>
              </w:rPr>
              <w:t>（六）其他处理</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jc w:val="center"/>
        </w:trPr>
        <w:tc>
          <w:tcPr>
            <w:tcW w:w="494" w:type="dxa"/>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2985" w:type="dxa"/>
            <w:gridSpan w:val="2"/>
            <w:tcBorders>
              <w:left w:val="nil"/>
            </w:tcBorders>
            <w:vAlign w:val="center"/>
          </w:tcPr>
          <w:p w:rsidR="00705D88" w:rsidRDefault="00705D88">
            <w:pPr>
              <w:widowControl/>
              <w:spacing w:line="620" w:lineRule="exact"/>
              <w:jc w:val="center"/>
              <w:rPr>
                <w:rFonts w:ascii="宋体" w:cs="宋体"/>
                <w:color w:val="333333"/>
                <w:kern w:val="0"/>
                <w:sz w:val="24"/>
              </w:rPr>
            </w:pPr>
            <w:r>
              <w:rPr>
                <w:rFonts w:ascii="楷体" w:eastAsia="楷体" w:hAnsi="楷体" w:cs="宋体" w:hint="eastAsia"/>
                <w:color w:val="333333"/>
                <w:sz w:val="20"/>
                <w:szCs w:val="20"/>
              </w:rPr>
              <w:t>（七）总计</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r>
      <w:tr w:rsidR="00705D88">
        <w:trPr>
          <w:trHeight w:val="515"/>
          <w:jc w:val="center"/>
        </w:trPr>
        <w:tc>
          <w:tcPr>
            <w:tcW w:w="3479" w:type="dxa"/>
            <w:gridSpan w:val="3"/>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四、结转下年度继续办理</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6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82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99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2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702" w:type="dxa"/>
            <w:tcBorders>
              <w:left w:val="nil"/>
            </w:tcBorders>
            <w:vAlign w:val="center"/>
          </w:tcPr>
          <w:p w:rsidR="00705D88" w:rsidRDefault="00705D88">
            <w:pPr>
              <w:widowControl/>
              <w:spacing w:line="620" w:lineRule="exact"/>
              <w:jc w:val="center"/>
              <w:rPr>
                <w:rFonts w:ascii="宋体" w:cs="宋体"/>
                <w:color w:val="333333"/>
                <w:kern w:val="0"/>
                <w:szCs w:val="21"/>
              </w:rPr>
            </w:pPr>
            <w:r>
              <w:rPr>
                <w:rFonts w:ascii="宋体" w:cs="宋体"/>
                <w:color w:val="333333"/>
                <w:kern w:val="0"/>
                <w:szCs w:val="21"/>
              </w:rPr>
              <w:t>0</w:t>
            </w:r>
          </w:p>
        </w:tc>
      </w:tr>
    </w:tbl>
    <w:p w:rsidR="00705D88" w:rsidRDefault="00705D88" w:rsidP="00705D88">
      <w:pPr>
        <w:widowControl/>
        <w:spacing w:line="620" w:lineRule="exact"/>
        <w:ind w:firstLineChars="200" w:firstLine="31680"/>
        <w:jc w:val="left"/>
        <w:rPr>
          <w:rFonts w:ascii="黑体" w:eastAsia="黑体" w:hAnsi="黑体" w:cs="黑体"/>
          <w:b/>
          <w:bCs/>
          <w:color w:val="333333"/>
          <w:kern w:val="0"/>
          <w:sz w:val="32"/>
          <w:szCs w:val="32"/>
        </w:rPr>
      </w:pPr>
      <w:r>
        <w:rPr>
          <w:rFonts w:ascii="黑体" w:eastAsia="黑体" w:hAnsi="黑体" w:cs="黑体" w:hint="eastAsia"/>
          <w:b/>
          <w:bCs/>
          <w:color w:val="333333"/>
          <w:kern w:val="0"/>
          <w:sz w:val="32"/>
          <w:szCs w:val="32"/>
        </w:rPr>
        <w:t>四、政府信息公开行政复议、行政诉讼情况</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705D88">
        <w:trPr>
          <w:trHeight w:val="377"/>
          <w:jc w:val="center"/>
        </w:trPr>
        <w:tc>
          <w:tcPr>
            <w:tcW w:w="3074" w:type="dxa"/>
            <w:gridSpan w:val="5"/>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行政复议</w:t>
            </w:r>
          </w:p>
        </w:tc>
        <w:tc>
          <w:tcPr>
            <w:tcW w:w="5997" w:type="dxa"/>
            <w:gridSpan w:val="10"/>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行政诉讼</w:t>
            </w:r>
          </w:p>
        </w:tc>
      </w:tr>
      <w:tr w:rsidR="00705D88">
        <w:trPr>
          <w:jc w:val="center"/>
        </w:trPr>
        <w:tc>
          <w:tcPr>
            <w:tcW w:w="604" w:type="dxa"/>
            <w:vMerge w:val="restart"/>
            <w:tcBorders>
              <w:top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结果维持</w:t>
            </w:r>
          </w:p>
        </w:tc>
        <w:tc>
          <w:tcPr>
            <w:tcW w:w="604" w:type="dxa"/>
            <w:vMerge w:val="restart"/>
            <w:tcBorders>
              <w:top w:val="nil"/>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结果纠正</w:t>
            </w:r>
          </w:p>
        </w:tc>
        <w:tc>
          <w:tcPr>
            <w:tcW w:w="604" w:type="dxa"/>
            <w:vMerge w:val="restart"/>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Calibri" w:hAnsi="Calibri" w:hint="eastAsia"/>
                <w:color w:val="333333"/>
                <w:sz w:val="20"/>
                <w:szCs w:val="20"/>
              </w:rPr>
              <w:t>其他结果</w:t>
            </w:r>
          </w:p>
        </w:tc>
        <w:tc>
          <w:tcPr>
            <w:tcW w:w="604" w:type="dxa"/>
            <w:vMerge w:val="restart"/>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尚未审结</w:t>
            </w:r>
          </w:p>
        </w:tc>
        <w:tc>
          <w:tcPr>
            <w:tcW w:w="658" w:type="dxa"/>
            <w:vMerge w:val="restart"/>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总计</w:t>
            </w:r>
          </w:p>
        </w:tc>
        <w:tc>
          <w:tcPr>
            <w:tcW w:w="2970" w:type="dxa"/>
            <w:gridSpan w:val="5"/>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未经复议直接起诉</w:t>
            </w:r>
          </w:p>
        </w:tc>
        <w:tc>
          <w:tcPr>
            <w:tcW w:w="3027" w:type="dxa"/>
            <w:gridSpan w:val="5"/>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复议后起诉</w:t>
            </w:r>
          </w:p>
        </w:tc>
      </w:tr>
      <w:tr w:rsidR="00705D88">
        <w:trPr>
          <w:jc w:val="center"/>
        </w:trPr>
        <w:tc>
          <w:tcPr>
            <w:tcW w:w="0" w:type="auto"/>
            <w:vMerge/>
            <w:tcBorders>
              <w:top w:val="nil"/>
            </w:tcBorders>
            <w:vAlign w:val="center"/>
          </w:tcPr>
          <w:p w:rsidR="00705D88" w:rsidRDefault="00705D88">
            <w:pPr>
              <w:widowControl/>
              <w:spacing w:line="620" w:lineRule="exact"/>
              <w:jc w:val="center"/>
              <w:rPr>
                <w:rFonts w:ascii="宋体" w:cs="宋体"/>
                <w:color w:val="333333"/>
                <w:kern w:val="0"/>
                <w:sz w:val="24"/>
              </w:rPr>
            </w:pPr>
          </w:p>
        </w:tc>
        <w:tc>
          <w:tcPr>
            <w:tcW w:w="0" w:type="auto"/>
            <w:vMerge/>
            <w:tcBorders>
              <w:top w:val="nil"/>
              <w:left w:val="nil"/>
            </w:tcBorders>
            <w:vAlign w:val="center"/>
          </w:tcPr>
          <w:p w:rsidR="00705D88" w:rsidRDefault="00705D88">
            <w:pPr>
              <w:widowControl/>
              <w:spacing w:line="620" w:lineRule="exact"/>
              <w:jc w:val="center"/>
              <w:rPr>
                <w:rFonts w:ascii="宋体" w:cs="宋体"/>
                <w:color w:val="333333"/>
                <w:kern w:val="0"/>
                <w:sz w:val="24"/>
              </w:rPr>
            </w:pPr>
          </w:p>
        </w:tc>
        <w:tc>
          <w:tcPr>
            <w:tcW w:w="0" w:type="auto"/>
            <w:vMerge/>
            <w:tcBorders>
              <w:left w:val="nil"/>
            </w:tcBorders>
            <w:vAlign w:val="center"/>
          </w:tcPr>
          <w:p w:rsidR="00705D88" w:rsidRDefault="00705D88">
            <w:pPr>
              <w:widowControl/>
              <w:spacing w:line="620" w:lineRule="exact"/>
              <w:jc w:val="center"/>
              <w:rPr>
                <w:rFonts w:ascii="宋体" w:cs="宋体"/>
                <w:color w:val="333333"/>
                <w:kern w:val="0"/>
                <w:sz w:val="24"/>
              </w:rPr>
            </w:pPr>
          </w:p>
        </w:tc>
        <w:tc>
          <w:tcPr>
            <w:tcW w:w="0" w:type="auto"/>
            <w:vMerge/>
            <w:tcBorders>
              <w:left w:val="nil"/>
            </w:tcBorders>
            <w:vAlign w:val="center"/>
          </w:tcPr>
          <w:p w:rsidR="00705D88" w:rsidRDefault="00705D88">
            <w:pPr>
              <w:widowControl/>
              <w:spacing w:line="620" w:lineRule="exact"/>
              <w:jc w:val="center"/>
              <w:rPr>
                <w:rFonts w:ascii="宋体" w:cs="宋体"/>
                <w:color w:val="333333"/>
                <w:kern w:val="0"/>
                <w:sz w:val="24"/>
              </w:rPr>
            </w:pPr>
          </w:p>
        </w:tc>
        <w:tc>
          <w:tcPr>
            <w:tcW w:w="0" w:type="auto"/>
            <w:vMerge/>
            <w:tcBorders>
              <w:left w:val="nil"/>
            </w:tcBorders>
            <w:vAlign w:val="center"/>
          </w:tcPr>
          <w:p w:rsidR="00705D88" w:rsidRDefault="00705D88">
            <w:pPr>
              <w:widowControl/>
              <w:spacing w:line="620" w:lineRule="exact"/>
              <w:jc w:val="center"/>
              <w:rPr>
                <w:rFonts w:ascii="宋体" w:cs="宋体"/>
                <w:color w:val="333333"/>
                <w:kern w:val="0"/>
                <w:sz w:val="24"/>
              </w:rPr>
            </w:pPr>
          </w:p>
        </w:tc>
        <w:tc>
          <w:tcPr>
            <w:tcW w:w="55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结果维持</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结果纠正</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其他结果</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尚未审结</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宋体" w:hAnsi="宋体" w:cs="宋体" w:hint="eastAsia"/>
                <w:color w:val="000000"/>
                <w:kern w:val="0"/>
                <w:sz w:val="20"/>
                <w:szCs w:val="20"/>
              </w:rPr>
              <w:t>总计</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结果维持</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结果纠正</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宋体" w:hAnsi="宋体" w:cs="宋体" w:hint="eastAsia"/>
                <w:color w:val="000000"/>
                <w:kern w:val="0"/>
                <w:sz w:val="20"/>
                <w:szCs w:val="20"/>
              </w:rPr>
              <w:t>其他结果</w:t>
            </w:r>
          </w:p>
        </w:tc>
        <w:tc>
          <w:tcPr>
            <w:tcW w:w="606"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hint="eastAsia"/>
                <w:color w:val="333333"/>
                <w:sz w:val="20"/>
                <w:szCs w:val="20"/>
              </w:rPr>
              <w:t>尚未审结</w:t>
            </w:r>
          </w:p>
        </w:tc>
        <w:tc>
          <w:tcPr>
            <w:tcW w:w="606" w:type="dxa"/>
            <w:tcBorders>
              <w:left w:val="nil"/>
            </w:tcBorders>
            <w:vAlign w:val="center"/>
          </w:tcPr>
          <w:p w:rsidR="00705D88" w:rsidRDefault="00705D88">
            <w:pPr>
              <w:widowControl/>
              <w:spacing w:before="100" w:beforeAutospacing="1" w:after="180" w:line="620" w:lineRule="exact"/>
              <w:jc w:val="center"/>
              <w:rPr>
                <w:rFonts w:ascii="宋体" w:cs="宋体"/>
                <w:color w:val="333333"/>
                <w:kern w:val="0"/>
                <w:sz w:val="24"/>
              </w:rPr>
            </w:pPr>
            <w:r>
              <w:rPr>
                <w:rFonts w:ascii="宋体" w:hAnsi="宋体" w:cs="宋体" w:hint="eastAsia"/>
                <w:color w:val="000000"/>
                <w:kern w:val="0"/>
                <w:sz w:val="20"/>
                <w:szCs w:val="20"/>
              </w:rPr>
              <w:t>总计</w:t>
            </w:r>
          </w:p>
        </w:tc>
      </w:tr>
      <w:tr w:rsidR="00705D88">
        <w:trPr>
          <w:jc w:val="center"/>
        </w:trPr>
        <w:tc>
          <w:tcPr>
            <w:tcW w:w="604" w:type="dxa"/>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4"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4"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4"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58"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550"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宋体" w:cs="宋体"/>
                <w:color w:val="000000"/>
                <w:kern w:val="0"/>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5"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宋体" w:cs="宋体"/>
                <w:color w:val="000000"/>
                <w:kern w:val="0"/>
                <w:sz w:val="20"/>
                <w:szCs w:val="20"/>
              </w:rPr>
              <w:t>0</w:t>
            </w:r>
          </w:p>
        </w:tc>
        <w:tc>
          <w:tcPr>
            <w:tcW w:w="606" w:type="dxa"/>
            <w:tcBorders>
              <w:left w:val="nil"/>
            </w:tcBorders>
            <w:vAlign w:val="center"/>
          </w:tcPr>
          <w:p w:rsidR="00705D88" w:rsidRDefault="00705D88">
            <w:pPr>
              <w:widowControl/>
              <w:spacing w:line="620" w:lineRule="exact"/>
              <w:jc w:val="center"/>
              <w:rPr>
                <w:rFonts w:ascii="宋体" w:cs="宋体"/>
                <w:color w:val="333333"/>
                <w:kern w:val="0"/>
                <w:sz w:val="24"/>
              </w:rPr>
            </w:pPr>
            <w:r>
              <w:rPr>
                <w:rFonts w:ascii="Calibri" w:hAnsi="Calibri"/>
                <w:color w:val="333333"/>
                <w:sz w:val="20"/>
                <w:szCs w:val="20"/>
              </w:rPr>
              <w:t>0</w:t>
            </w:r>
          </w:p>
        </w:tc>
        <w:tc>
          <w:tcPr>
            <w:tcW w:w="606" w:type="dxa"/>
            <w:tcBorders>
              <w:left w:val="nil"/>
            </w:tcBorders>
            <w:vAlign w:val="center"/>
          </w:tcPr>
          <w:p w:rsidR="00705D88" w:rsidRDefault="00705D88">
            <w:pPr>
              <w:widowControl/>
              <w:spacing w:line="620" w:lineRule="exact"/>
              <w:jc w:val="center"/>
              <w:rPr>
                <w:rFonts w:ascii="宋体" w:cs="宋体"/>
                <w:color w:val="333333"/>
                <w:kern w:val="0"/>
                <w:szCs w:val="21"/>
              </w:rPr>
            </w:pPr>
            <w:r>
              <w:rPr>
                <w:rFonts w:ascii="Calibri" w:hAnsi="Calibri"/>
                <w:color w:val="333333"/>
                <w:sz w:val="20"/>
                <w:szCs w:val="20"/>
              </w:rPr>
              <w:t>0</w:t>
            </w:r>
          </w:p>
        </w:tc>
      </w:tr>
    </w:tbl>
    <w:p w:rsidR="00705D88" w:rsidRDefault="00705D88" w:rsidP="00705D88">
      <w:pPr>
        <w:widowControl/>
        <w:spacing w:line="620" w:lineRule="exact"/>
        <w:ind w:firstLineChars="200" w:firstLine="31680"/>
        <w:jc w:val="left"/>
        <w:rPr>
          <w:rFonts w:ascii="黑体" w:eastAsia="黑体" w:hAnsi="黑体" w:cs="黑体"/>
          <w:b/>
          <w:bCs/>
          <w:color w:val="333333"/>
          <w:kern w:val="0"/>
          <w:sz w:val="32"/>
          <w:szCs w:val="32"/>
        </w:rPr>
      </w:pPr>
    </w:p>
    <w:p w:rsidR="00705D88" w:rsidRDefault="00705D88" w:rsidP="009946DE">
      <w:pPr>
        <w:widowControl/>
        <w:spacing w:line="620" w:lineRule="exact"/>
        <w:ind w:firstLineChars="200" w:firstLine="3168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五、存在的主要问题及改进情况</w:t>
      </w:r>
    </w:p>
    <w:p w:rsidR="00705D88" w:rsidRDefault="00705D88" w:rsidP="009946DE">
      <w:pPr>
        <w:adjustRightInd w:val="0"/>
        <w:snapToGrid w:val="0"/>
        <w:spacing w:line="620" w:lineRule="exact"/>
        <w:ind w:firstLineChars="200" w:firstLine="31680"/>
        <w:rPr>
          <w:rFonts w:ascii="仿宋" w:eastAsia="仿宋" w:hAnsi="仿宋" w:cs="仿宋"/>
          <w:sz w:val="32"/>
          <w:szCs w:val="32"/>
        </w:rPr>
      </w:pPr>
      <w:r>
        <w:rPr>
          <w:rFonts w:ascii="仿宋" w:eastAsia="仿宋" w:hAnsi="仿宋" w:cs="仿宋" w:hint="eastAsia"/>
          <w:sz w:val="32"/>
          <w:szCs w:val="32"/>
        </w:rPr>
        <w:t>在政府信息公开工作上，我乡政府信息公开工作取得了一些成绩，但距上级要求、群众期盼仍有差距，如政府信息公开数量不够多、质量不够高，更新不够快，回应公众关注热点和重大舆情还不够及时有效，负责信息公开的人员队伍不够充实，业务能力有待进一步提高。</w:t>
      </w:r>
    </w:p>
    <w:p w:rsidR="00705D88" w:rsidRDefault="00705D88" w:rsidP="009946DE">
      <w:pPr>
        <w:adjustRightInd w:val="0"/>
        <w:snapToGrid w:val="0"/>
        <w:spacing w:line="620" w:lineRule="exact"/>
        <w:ind w:firstLineChars="200" w:firstLine="31680"/>
        <w:rPr>
          <w:rFonts w:ascii="仿宋" w:eastAsia="仿宋" w:hAnsi="仿宋" w:cs="仿宋"/>
          <w:sz w:val="32"/>
          <w:szCs w:val="32"/>
        </w:rPr>
      </w:pPr>
      <w:r>
        <w:rPr>
          <w:rFonts w:ascii="仿宋" w:eastAsia="仿宋" w:hAnsi="仿宋" w:cs="仿宋" w:hint="eastAsia"/>
          <w:sz w:val="32"/>
          <w:szCs w:val="32"/>
        </w:rPr>
        <w:t>下一步，我乡将把政府信息公开作为一项基本制度和常态性要求融入政府工作，着力抓好以下几个方面的工作：</w:t>
      </w:r>
      <w:r>
        <w:rPr>
          <w:rFonts w:ascii="仿宋" w:eastAsia="仿宋" w:hAnsi="仿宋" w:cs="仿宋" w:hint="eastAsia"/>
          <w:b/>
          <w:bCs/>
          <w:sz w:val="32"/>
          <w:szCs w:val="32"/>
        </w:rPr>
        <w:t>一是</w:t>
      </w:r>
      <w:r>
        <w:rPr>
          <w:rFonts w:ascii="仿宋" w:eastAsia="仿宋" w:hAnsi="仿宋" w:cs="仿宋" w:hint="eastAsia"/>
          <w:sz w:val="32"/>
          <w:szCs w:val="32"/>
        </w:rPr>
        <w:t>加强同区政府政务公开网站的联络与配合，第一时间将应依法依规公开的政务信息及时公开；</w:t>
      </w:r>
      <w:r>
        <w:rPr>
          <w:rFonts w:ascii="仿宋" w:eastAsia="仿宋" w:hAnsi="仿宋" w:cs="仿宋" w:hint="eastAsia"/>
          <w:b/>
          <w:bCs/>
          <w:sz w:val="32"/>
          <w:szCs w:val="32"/>
        </w:rPr>
        <w:t>二是</w:t>
      </w:r>
      <w:r>
        <w:rPr>
          <w:rFonts w:ascii="仿宋" w:eastAsia="仿宋" w:hAnsi="仿宋" w:cs="仿宋" w:hint="eastAsia"/>
          <w:sz w:val="32"/>
          <w:szCs w:val="32"/>
        </w:rPr>
        <w:t>加强宣传引导力度，提高公众对政府信息公开的知晓率和参与度；</w:t>
      </w:r>
      <w:r>
        <w:rPr>
          <w:rFonts w:ascii="仿宋" w:eastAsia="仿宋" w:hAnsi="仿宋" w:cs="仿宋" w:hint="eastAsia"/>
          <w:b/>
          <w:bCs/>
          <w:sz w:val="32"/>
          <w:szCs w:val="32"/>
        </w:rPr>
        <w:t>三是</w:t>
      </w:r>
      <w:r>
        <w:rPr>
          <w:rFonts w:ascii="仿宋" w:eastAsia="仿宋" w:hAnsi="仿宋" w:cs="仿宋" w:hint="eastAsia"/>
          <w:sz w:val="32"/>
          <w:szCs w:val="32"/>
        </w:rPr>
        <w:t>加强业务培训，切实提高政府工作人员的服务意识与公开职责；</w:t>
      </w:r>
      <w:r>
        <w:rPr>
          <w:rFonts w:ascii="仿宋" w:eastAsia="仿宋" w:hAnsi="仿宋" w:cs="仿宋" w:hint="eastAsia"/>
          <w:b/>
          <w:bCs/>
          <w:sz w:val="32"/>
          <w:szCs w:val="32"/>
        </w:rPr>
        <w:t>四是</w:t>
      </w:r>
      <w:r>
        <w:rPr>
          <w:rFonts w:ascii="仿宋" w:eastAsia="仿宋" w:hAnsi="仿宋" w:cs="仿宋" w:hint="eastAsia"/>
          <w:sz w:val="32"/>
          <w:szCs w:val="32"/>
        </w:rPr>
        <w:t>加大主动公开力度，在原有主动公开基础上，进一步扩大信息公开的深度和广度；</w:t>
      </w:r>
      <w:r>
        <w:rPr>
          <w:rFonts w:ascii="仿宋" w:eastAsia="仿宋" w:hAnsi="仿宋" w:cs="仿宋" w:hint="eastAsia"/>
          <w:b/>
          <w:bCs/>
          <w:sz w:val="32"/>
          <w:szCs w:val="32"/>
        </w:rPr>
        <w:t>五是</w:t>
      </w:r>
      <w:r>
        <w:rPr>
          <w:rFonts w:ascii="仿宋" w:eastAsia="仿宋" w:hAnsi="仿宋" w:cs="仿宋" w:hint="eastAsia"/>
          <w:sz w:val="32"/>
          <w:szCs w:val="32"/>
        </w:rPr>
        <w:t>健全完善政府信息公开各项制度，加大监督、检查和考核力度，为政府信息公开工作顺利开展，提供机制保障。</w:t>
      </w:r>
    </w:p>
    <w:p w:rsidR="00705D88" w:rsidRDefault="00705D88" w:rsidP="009946DE">
      <w:pPr>
        <w:widowControl/>
        <w:spacing w:line="620" w:lineRule="exact"/>
        <w:ind w:firstLineChars="200" w:firstLine="31680"/>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六、其他需要报告的事项</w:t>
      </w:r>
    </w:p>
    <w:p w:rsidR="00705D88" w:rsidRDefault="00705D88" w:rsidP="009946DE">
      <w:pPr>
        <w:spacing w:line="6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年我乡无其他需要报告的事项。</w:t>
      </w:r>
    </w:p>
    <w:p w:rsidR="00705D88" w:rsidRDefault="00705D88">
      <w:pPr>
        <w:spacing w:line="620" w:lineRule="exact"/>
        <w:ind w:firstLine="640"/>
        <w:rPr>
          <w:rFonts w:ascii="仿宋_GB2312" w:eastAsia="仿宋_GB2312" w:hAnsi="仿宋_GB2312" w:cs="仿宋_GB2312"/>
          <w:sz w:val="32"/>
          <w:szCs w:val="32"/>
        </w:rPr>
      </w:pPr>
    </w:p>
    <w:p w:rsidR="00705D88" w:rsidRDefault="00705D88">
      <w:pPr>
        <w:spacing w:line="620" w:lineRule="exact"/>
        <w:ind w:firstLine="640"/>
        <w:rPr>
          <w:rFonts w:ascii="仿宋_GB2312" w:eastAsia="仿宋_GB2312" w:hAnsi="仿宋_GB2312" w:cs="仿宋_GB2312"/>
          <w:sz w:val="32"/>
          <w:szCs w:val="32"/>
        </w:rPr>
      </w:pPr>
    </w:p>
    <w:p w:rsidR="00705D88" w:rsidRDefault="00705D88" w:rsidP="009946DE">
      <w:pPr>
        <w:spacing w:line="620" w:lineRule="exact"/>
        <w:ind w:firstLineChars="1700" w:firstLine="31680"/>
        <w:rPr>
          <w:rFonts w:ascii="仿宋" w:eastAsia="仿宋" w:hAnsi="仿宋"/>
          <w:sz w:val="32"/>
          <w:szCs w:val="32"/>
        </w:rPr>
      </w:pPr>
      <w:smartTag w:uri="urn:schemas-microsoft-com:office:smarttags" w:element="chsdate">
        <w:smartTagPr>
          <w:attr w:name="IsROCDate" w:val="False"/>
          <w:attr w:name="IsLunarDate" w:val="False"/>
          <w:attr w:name="Day" w:val="20"/>
          <w:attr w:name="Month" w:val="1"/>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smartTag>
    </w:p>
    <w:p w:rsidR="00705D88" w:rsidRDefault="00705D88" w:rsidP="004A5856">
      <w:pPr>
        <w:widowControl/>
        <w:spacing w:line="620" w:lineRule="exact"/>
        <w:ind w:firstLineChars="200" w:firstLine="31680"/>
        <w:jc w:val="left"/>
      </w:pPr>
    </w:p>
    <w:sectPr w:rsidR="00705D88" w:rsidSect="00824DD6">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2312">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9A19C6"/>
    <w:rsid w:val="002F6D30"/>
    <w:rsid w:val="00413020"/>
    <w:rsid w:val="004A5856"/>
    <w:rsid w:val="00705D88"/>
    <w:rsid w:val="00824DD6"/>
    <w:rsid w:val="009946DE"/>
    <w:rsid w:val="00A22374"/>
    <w:rsid w:val="00B4400D"/>
    <w:rsid w:val="549A19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DD6"/>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424</Words>
  <Characters>2417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谢潇然</dc:creator>
  <cp:keywords/>
  <dc:description/>
  <cp:lastModifiedBy>AutoBVT</cp:lastModifiedBy>
  <cp:revision>5</cp:revision>
  <dcterms:created xsi:type="dcterms:W3CDTF">2021-01-29T04:02:00Z</dcterms:created>
  <dcterms:modified xsi:type="dcterms:W3CDTF">2021-02-01T09:06:00Z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331127178_cloud</vt:lpwstr>
  </property>
</Properties>
</file>