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topLinePunct w:val="0"/>
        <w:autoSpaceDE w:val="0"/>
        <w:autoSpaceDN w:val="0"/>
        <w:bidi w:val="0"/>
        <w:adjustRightInd w:val="0"/>
        <w:snapToGrid/>
        <w:spacing w:line="360" w:lineRule="auto"/>
        <w:ind w:right="0" w:righ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部分不合格检验项目小知识</w:t>
      </w:r>
    </w:p>
    <w:p>
      <w:pPr>
        <w:spacing w:line="59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b/>
          <w:bCs/>
          <w:color w:val="auto"/>
          <w:sz w:val="32"/>
          <w:szCs w:val="32"/>
          <w:lang w:val="en-US" w:eastAsia="zh-CN"/>
        </w:rPr>
        <w:t>噻虫嗪</w:t>
      </w:r>
    </w:p>
    <w:p>
      <w:pPr>
        <w:spacing w:line="590" w:lineRule="exact"/>
        <w:ind w:firstLine="627" w:firstLineChars="196"/>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噻虫嗪是一种全新结构的第二代烟碱类高效低毒杀虫剂，对害虫具有胃毒、触杀及内吸活性，用于叶面喷雾及土壤灌根处理。其施药后迅速被内吸，并传导到植株各部位，对刺吸式害虫如蚜虫、飞虱、叶蝉、粉虱等有良好的防效。</w:t>
      </w:r>
      <w:r>
        <w:rPr>
          <w:rFonts w:hint="eastAsia" w:ascii="仿宋_GB2312" w:hAnsi="仿宋_GB2312" w:eastAsia="仿宋_GB2312" w:cs="仿宋_GB2312"/>
          <w:sz w:val="32"/>
          <w:szCs w:val="32"/>
          <w:lang w:val="en-US" w:eastAsia="zh-CN"/>
        </w:rPr>
        <w:t>《食品安全国家标准  食品中农药最大残留限量》（GB 2763-2021)）中规定，香蕉中的噻虫嗪最大残留限量为0.02mg/kg。</w:t>
      </w:r>
      <w:r>
        <w:rPr>
          <w:rFonts w:hint="default" w:ascii="仿宋_GB2312" w:hAnsi="仿宋_GB2312" w:eastAsia="仿宋_GB2312" w:cs="仿宋_GB2312"/>
          <w:sz w:val="32"/>
          <w:szCs w:val="32"/>
          <w:lang w:val="en-US" w:eastAsia="zh-CN"/>
        </w:rPr>
        <w:t>香蕉中检出噻虫嗪超标的原因可能是由于种植户未严格按照农药使用安全间隔期进行采摘所致。</w:t>
      </w:r>
    </w:p>
    <w:p>
      <w:pPr>
        <w:spacing w:line="59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b/>
          <w:bCs/>
          <w:color w:val="auto"/>
          <w:sz w:val="32"/>
          <w:szCs w:val="32"/>
          <w:lang w:val="en-US" w:eastAsia="zh-CN"/>
        </w:rPr>
        <w:t>噻虫胺</w:t>
      </w:r>
    </w:p>
    <w:p>
      <w:pPr>
        <w:spacing w:line="590" w:lineRule="exact"/>
        <w:ind w:firstLine="627" w:firstLineChars="196"/>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噻虫胺是一种有机化合物，分子式是C</w:t>
      </w:r>
      <w:r>
        <w:rPr>
          <w:rFonts w:hint="default" w:ascii="仿宋_GB2312" w:hAnsi="仿宋_GB2312" w:eastAsia="仿宋_GB2312" w:cs="仿宋_GB2312"/>
          <w:sz w:val="32"/>
          <w:szCs w:val="32"/>
          <w:lang w:val="en-US" w:eastAsia="zh-CN"/>
        </w:rPr>
        <w:t>6H8ClN5O2S。噻虫胺是新烟碱类中的一种杀虫剂，是一类高效安全、高选择性的新型杀虫剂，其作用与烟碱</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"https://baike.baidu.com/item/%E4%B9%99%E9%85%B0%E8%83%86%E7%A2%B1%E5%8F%97%E4%BD%93/662376" \t "https://baike.baidu.com/item/%E5%99%BB%E8%99%AB%E8%83%BA/_blank"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乙酰胆碱受体</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类似，具有触杀、胃毒和内吸活性。主要用于水稻、蔬菜、果树及其他作物上防治</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"https://baike.baidu.com/item/%E8%9A%9C%E8%99%AB/417019" \t "https://baike.baidu.com/item/%E5%99%BB%E8%99%AB%E8%83%BA/_blank"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蚜虫</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"https://baike.baidu.com/item/%E5%8F%B6%E8%9D%89/417095" \t "https://baike.baidu.com/item/%E5%99%BB%E8%99%AB%E8%83%BA/_blank"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叶蝉</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"https://baike.baidu.com/item/%E8%93%9F%E9%A9%AC/4066456" \t "https://baike.baidu.com/item/%E5%99%BB%E8%99%AB%E8%83%BA/_blank"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蓟马</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"https://baike.baidu.com/item/%E9%A3%9E%E8%99%B1/5953853" \t "https://baike.baidu.com/item/%E5%99%BB%E8%99%AB%E8%83%BA/_blank"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飞虱</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等半翅目、鞘翅目、双翅目和某些</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"https://baike.baidu.com/item/%E9%B3%9E%E7%BF%85/7627100" \t "https://baike.baidu.com/item/%E5%99%BB%E8%99%AB%E8%83%BA/_blank"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鳞翅</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目类害虫的杀虫剂，具有高效、广谱、用量少、毒性低、药效持效期长、对作物无药害、使用安全、与常规农药无</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"https://baike.baidu.com/item/%E4%BA%A4%E4%BA%92%E6%8A%97%E6%80%A7/5510810" \t "https://baike.baidu.com/item/%E5%99%BB%E8%99%AB%E8%83%BA/_blank"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交互抗性</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等优点，有卓越的内吸和</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"https://baike.baidu.com/item/%E6%B8%97%E9%80%8F%E4%BD%9C%E7%94%A8/3707525" \t "https://baike.baidu.com/item/%E5%99%BB%E8%99%AB%E8%83%BA/_blank"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渗透作用</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，是替代高毒</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"https://baike.baidu.com/item/%E6%9C%89%E6%9C%BA%E7%A3%B7%E5%86%9C%E8%8D%AF/3467931" \t "https://baike.baidu.com/item/%E5%99%BB%E8%99%AB%E8%83%BA/_blank"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有机磷农药</w:t>
      </w:r>
      <w:r>
        <w:rPr>
          <w:rFonts w:hint="default" w:ascii="仿宋_GB2312" w:hAnsi="仿宋_GB2312" w:eastAsia="仿宋_GB2312" w:cs="仿宋_GB2312"/>
          <w:sz w:val="32"/>
          <w:szCs w:val="32"/>
          <w:lang w:val="en-US" w:eastAsia="zh-CN"/>
        </w:rPr>
        <w:fldChar w:fldCharType="end"/>
      </w:r>
      <w:r>
        <w:rPr>
          <w:rFonts w:hint="default" w:ascii="仿宋_GB2312" w:hAnsi="仿宋_GB2312" w:eastAsia="仿宋_GB2312" w:cs="仿宋_GB2312"/>
          <w:sz w:val="32"/>
          <w:szCs w:val="32"/>
          <w:lang w:val="en-US" w:eastAsia="zh-CN"/>
        </w:rPr>
        <w:t>的又一品种。《食品安全国家标准 食品中农药最大残留限量》（</w:t>
      </w:r>
      <w:r>
        <w:rPr>
          <w:rFonts w:hint="eastAsia" w:ascii="仿宋_GB2312" w:hAnsi="仿宋_GB2312" w:eastAsia="仿宋_GB2312" w:cs="仿宋_GB2312"/>
          <w:sz w:val="32"/>
          <w:szCs w:val="32"/>
          <w:lang w:val="en-US" w:eastAsia="zh-CN"/>
        </w:rPr>
        <w:t>GB 2763—2021</w:t>
      </w:r>
      <w:r>
        <w:rPr>
          <w:rFonts w:hint="default" w:ascii="仿宋_GB2312" w:hAnsi="仿宋_GB2312" w:eastAsia="仿宋_GB2312" w:cs="仿宋_GB2312"/>
          <w:sz w:val="32"/>
          <w:szCs w:val="32"/>
          <w:lang w:val="en-US" w:eastAsia="zh-CN"/>
        </w:rPr>
        <w:t>）中规定，</w:t>
      </w:r>
      <w:r>
        <w:rPr>
          <w:rFonts w:hint="eastAsia" w:ascii="仿宋_GB2312" w:hAnsi="仿宋_GB2312" w:eastAsia="仿宋_GB2312" w:cs="仿宋_GB2312"/>
          <w:sz w:val="32"/>
          <w:szCs w:val="32"/>
          <w:lang w:val="en-US" w:eastAsia="zh-CN"/>
        </w:rPr>
        <w:t>辣椒</w:t>
      </w:r>
      <w:r>
        <w:rPr>
          <w:rFonts w:hint="default" w:ascii="仿宋_GB2312" w:hAnsi="仿宋_GB2312" w:eastAsia="仿宋_GB2312" w:cs="仿宋_GB2312"/>
          <w:sz w:val="32"/>
          <w:szCs w:val="32"/>
          <w:lang w:val="en-US" w:eastAsia="zh-CN"/>
        </w:rPr>
        <w:t>中的</w:t>
      </w:r>
      <w:r>
        <w:rPr>
          <w:rFonts w:hint="eastAsia" w:ascii="仿宋_GB2312" w:hAnsi="仿宋_GB2312" w:eastAsia="仿宋_GB2312" w:cs="仿宋_GB2312"/>
          <w:sz w:val="32"/>
          <w:szCs w:val="32"/>
          <w:lang w:val="en-US" w:eastAsia="zh-CN"/>
        </w:rPr>
        <w:t>噻虫胺</w:t>
      </w:r>
      <w:r>
        <w:rPr>
          <w:rFonts w:hint="default" w:ascii="仿宋_GB2312" w:hAnsi="仿宋_GB2312" w:eastAsia="仿宋_GB2312" w:cs="仿宋_GB2312"/>
          <w:sz w:val="32"/>
          <w:szCs w:val="32"/>
          <w:lang w:val="en-US" w:eastAsia="zh-CN"/>
        </w:rPr>
        <w:t>最大残留限量值为0.</w:t>
      </w:r>
      <w:r>
        <w:rPr>
          <w:rFonts w:hint="eastAsia" w:ascii="仿宋_GB2312" w:hAnsi="仿宋_GB2312" w:eastAsia="仿宋_GB2312" w:cs="仿宋_GB2312"/>
          <w:sz w:val="32"/>
          <w:szCs w:val="32"/>
          <w:lang w:val="en-US" w:eastAsia="zh-CN"/>
        </w:rPr>
        <w:t>05</w:t>
      </w:r>
      <w:r>
        <w:rPr>
          <w:rFonts w:hint="default" w:ascii="仿宋_GB2312" w:hAnsi="仿宋_GB2312" w:eastAsia="仿宋_GB2312" w:cs="仿宋_GB2312"/>
          <w:sz w:val="32"/>
          <w:szCs w:val="32"/>
          <w:lang w:val="en-US" w:eastAsia="zh-CN"/>
        </w:rPr>
        <w:t>mg/kg</w:t>
      </w:r>
      <w:r>
        <w:rPr>
          <w:rFonts w:hint="eastAsia" w:ascii="仿宋_GB2312" w:hAnsi="仿宋_GB2312" w:eastAsia="仿宋_GB2312" w:cs="仿宋_GB2312"/>
          <w:sz w:val="32"/>
          <w:szCs w:val="32"/>
          <w:lang w:val="en-US" w:eastAsia="zh-CN"/>
        </w:rPr>
        <w:t>，香蕉</w:t>
      </w:r>
      <w:r>
        <w:rPr>
          <w:rFonts w:hint="default" w:ascii="仿宋_GB2312" w:hAnsi="仿宋_GB2312" w:eastAsia="仿宋_GB2312" w:cs="仿宋_GB2312"/>
          <w:sz w:val="32"/>
          <w:szCs w:val="32"/>
          <w:lang w:val="en-US" w:eastAsia="zh-CN"/>
        </w:rPr>
        <w:t>中的</w:t>
      </w:r>
      <w:r>
        <w:rPr>
          <w:rFonts w:hint="eastAsia" w:ascii="仿宋_GB2312" w:hAnsi="仿宋_GB2312" w:eastAsia="仿宋_GB2312" w:cs="仿宋_GB2312"/>
          <w:sz w:val="32"/>
          <w:szCs w:val="32"/>
          <w:lang w:val="en-US" w:eastAsia="zh-CN"/>
        </w:rPr>
        <w:t>噻虫胺</w:t>
      </w:r>
      <w:r>
        <w:rPr>
          <w:rFonts w:hint="default" w:ascii="仿宋_GB2312" w:hAnsi="仿宋_GB2312" w:eastAsia="仿宋_GB2312" w:cs="仿宋_GB2312"/>
          <w:sz w:val="32"/>
          <w:szCs w:val="32"/>
          <w:lang w:val="en-US" w:eastAsia="zh-CN"/>
        </w:rPr>
        <w:t>最大残留限量值为0.</w:t>
      </w:r>
      <w:r>
        <w:rPr>
          <w:rFonts w:hint="eastAsia" w:ascii="仿宋_GB2312" w:hAnsi="仿宋_GB2312" w:eastAsia="仿宋_GB2312" w:cs="仿宋_GB2312"/>
          <w:sz w:val="32"/>
          <w:szCs w:val="32"/>
          <w:lang w:val="en-US" w:eastAsia="zh-CN"/>
        </w:rPr>
        <w:t>02</w:t>
      </w:r>
      <w:r>
        <w:rPr>
          <w:rFonts w:hint="default" w:ascii="仿宋_GB2312" w:hAnsi="仿宋_GB2312" w:eastAsia="仿宋_GB2312" w:cs="仿宋_GB2312"/>
          <w:sz w:val="32"/>
          <w:szCs w:val="32"/>
          <w:lang w:val="en-US" w:eastAsia="zh-CN"/>
        </w:rPr>
        <w:t>mg/kg</w:t>
      </w:r>
      <w:r>
        <w:rPr>
          <w:rFonts w:hint="eastAsia" w:ascii="仿宋_GB2312" w:hAnsi="仿宋_GB2312" w:eastAsia="仿宋_GB2312" w:cs="仿宋_GB2312"/>
          <w:sz w:val="32"/>
          <w:szCs w:val="32"/>
          <w:lang w:val="en-US" w:eastAsia="zh-CN"/>
        </w:rPr>
        <w:t>，菜豆</w:t>
      </w:r>
      <w:r>
        <w:rPr>
          <w:rFonts w:hint="default"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en-US" w:eastAsia="zh-CN"/>
        </w:rPr>
        <w:t>噻虫胺</w:t>
      </w:r>
      <w:r>
        <w:rPr>
          <w:rFonts w:hint="default" w:ascii="仿宋_GB2312" w:hAnsi="仿宋_GB2312" w:eastAsia="仿宋_GB2312" w:cs="仿宋_GB2312"/>
          <w:sz w:val="32"/>
          <w:szCs w:val="32"/>
          <w:lang w:val="en-US" w:eastAsia="zh-CN"/>
        </w:rPr>
        <w:t>最大残留限量值为0.</w:t>
      </w:r>
      <w:r>
        <w:rPr>
          <w:rFonts w:hint="eastAsia" w:ascii="仿宋_GB2312" w:hAnsi="仿宋_GB2312" w:eastAsia="仿宋_GB2312" w:cs="仿宋_GB2312"/>
          <w:sz w:val="32"/>
          <w:szCs w:val="32"/>
          <w:lang w:val="en-US" w:eastAsia="zh-CN"/>
        </w:rPr>
        <w:t>01</w:t>
      </w:r>
      <w:r>
        <w:rPr>
          <w:rFonts w:hint="default" w:ascii="仿宋_GB2312" w:hAnsi="仿宋_GB2312" w:eastAsia="仿宋_GB2312" w:cs="仿宋_GB2312"/>
          <w:sz w:val="32"/>
          <w:szCs w:val="32"/>
          <w:lang w:val="en-US" w:eastAsia="zh-CN"/>
        </w:rPr>
        <w:t>mg/kg</w:t>
      </w:r>
      <w:r>
        <w:rPr>
          <w:rFonts w:hint="eastAsia" w:ascii="仿宋_GB2312" w:hAnsi="仿宋_GB2312" w:eastAsia="仿宋_GB2312" w:cs="仿宋_GB2312"/>
          <w:sz w:val="32"/>
          <w:szCs w:val="32"/>
          <w:lang w:val="en-US" w:eastAsia="zh-CN"/>
        </w:rPr>
        <w:t>，芹菜</w:t>
      </w:r>
      <w:r>
        <w:rPr>
          <w:rFonts w:hint="default"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en-US" w:eastAsia="zh-CN"/>
        </w:rPr>
        <w:t>噻虫胺</w:t>
      </w:r>
      <w:r>
        <w:rPr>
          <w:rFonts w:hint="default" w:ascii="仿宋_GB2312" w:hAnsi="仿宋_GB2312" w:eastAsia="仿宋_GB2312" w:cs="仿宋_GB2312"/>
          <w:sz w:val="32"/>
          <w:szCs w:val="32"/>
          <w:lang w:val="en-US" w:eastAsia="zh-CN"/>
        </w:rPr>
        <w:t>最大残留限量值为0.</w:t>
      </w:r>
      <w:r>
        <w:rPr>
          <w:rFonts w:hint="eastAsia" w:ascii="仿宋_GB2312" w:hAnsi="仿宋_GB2312" w:eastAsia="仿宋_GB2312" w:cs="仿宋_GB2312"/>
          <w:sz w:val="32"/>
          <w:szCs w:val="32"/>
          <w:lang w:val="en-US" w:eastAsia="zh-CN"/>
        </w:rPr>
        <w:t>04</w:t>
      </w:r>
      <w:r>
        <w:rPr>
          <w:rFonts w:hint="default" w:ascii="仿宋_GB2312" w:hAnsi="仿宋_GB2312" w:eastAsia="仿宋_GB2312" w:cs="仿宋_GB2312"/>
          <w:sz w:val="32"/>
          <w:szCs w:val="32"/>
          <w:lang w:val="en-US" w:eastAsia="zh-CN"/>
        </w:rPr>
        <w:t>mg/kg</w:t>
      </w:r>
      <w:r>
        <w:rPr>
          <w:rFonts w:hint="eastAsia" w:ascii="仿宋_GB2312" w:hAnsi="仿宋_GB2312" w:eastAsia="仿宋_GB2312" w:cs="仿宋_GB2312"/>
          <w:sz w:val="32"/>
          <w:szCs w:val="32"/>
          <w:lang w:val="en-US" w:eastAsia="zh-CN"/>
        </w:rPr>
        <w:t>。蔬菜</w:t>
      </w:r>
      <w:r>
        <w:rPr>
          <w:rFonts w:hint="default"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lang w:val="en-US" w:eastAsia="zh-CN"/>
        </w:rPr>
        <w:t>噻虫胺</w:t>
      </w:r>
      <w:r>
        <w:rPr>
          <w:rFonts w:hint="default" w:ascii="仿宋_GB2312" w:hAnsi="仿宋_GB2312" w:eastAsia="仿宋_GB2312" w:cs="仿宋_GB2312"/>
          <w:sz w:val="32"/>
          <w:szCs w:val="32"/>
          <w:lang w:val="en-US" w:eastAsia="zh-CN"/>
        </w:rPr>
        <w:t>残留量超标的原因，可能是为快速控制病情，加大用药量或未遵守采摘间隔期规定，致使上市销售的产品中残留量超标。长期食用农药残留超标的产品，对人体健康有一定危害。</w:t>
      </w:r>
    </w:p>
    <w:p>
      <w:pPr>
        <w:pStyle w:val="2"/>
        <w:numPr>
          <w:ilvl w:val="0"/>
          <w:numId w:val="0"/>
        </w:numPr>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kern w:val="2"/>
          <w:sz w:val="32"/>
          <w:szCs w:val="32"/>
          <w:lang w:val="en-US" w:eastAsia="zh-CN" w:bidi="ar-SA"/>
        </w:rPr>
        <w:t>三、</w:t>
      </w:r>
      <w:r>
        <w:rPr>
          <w:rFonts w:hint="eastAsia" w:ascii="仿宋_GB2312" w:hAnsi="仿宋_GB2312" w:eastAsia="仿宋_GB2312" w:cs="仿宋_GB2312"/>
          <w:b/>
          <w:bCs/>
          <w:color w:val="auto"/>
          <w:sz w:val="32"/>
          <w:szCs w:val="32"/>
          <w:lang w:val="en-US" w:eastAsia="zh-CN"/>
        </w:rPr>
        <w:t>腐霉利</w:t>
      </w:r>
    </w:p>
    <w:p>
      <w:pPr>
        <w:pStyle w:val="3"/>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腐霉利是一种低毒内吸性杀菌剂，具有保护和治疗双重作用。主要用于蔬菜及果树的灰霉病防治。《食品安全国家标准 食品中农药最大残留限量》（GB 2763-2021）中规定，韭菜中</w:t>
      </w:r>
      <w:r>
        <w:rPr>
          <w:rFonts w:hint="eastAsia" w:ascii="仿宋_GB2312" w:hAnsi="仿宋_GB2312" w:eastAsia="仿宋_GB2312" w:cs="仿宋_GB2312"/>
          <w:kern w:val="2"/>
          <w:sz w:val="32"/>
          <w:szCs w:val="32"/>
          <w:lang w:val="en-US" w:eastAsia="zh-CN" w:bidi="ar-SA"/>
        </w:rPr>
        <w:t>的腐霉利</w:t>
      </w:r>
      <w:r>
        <w:rPr>
          <w:rFonts w:hint="eastAsia" w:ascii="仿宋_GB2312" w:hAnsi="仿宋_GB2312" w:eastAsia="仿宋_GB2312" w:cs="仿宋_GB2312"/>
          <w:kern w:val="2"/>
          <w:sz w:val="32"/>
          <w:szCs w:val="32"/>
          <w:lang w:val="en-US" w:eastAsia="zh-CN" w:bidi="ar-SA"/>
        </w:rPr>
        <w:t>最大残留限量为5mg/kg。其超标的原因可能是菜农不了解使用农药的安全间隔期，违规使用或滥用农药。</w:t>
      </w:r>
    </w:p>
    <w:p>
      <w:pPr>
        <w:pStyle w:val="3"/>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kern w:val="2"/>
          <w:sz w:val="32"/>
          <w:szCs w:val="32"/>
          <w:lang w:val="en-US" w:eastAsia="zh-CN" w:bidi="ar-SA"/>
        </w:rPr>
        <w:t>四、</w:t>
      </w:r>
      <w:r>
        <w:rPr>
          <w:rFonts w:hint="eastAsia" w:ascii="仿宋_GB2312" w:hAnsi="仿宋_GB2312" w:eastAsia="仿宋_GB2312" w:cs="仿宋_GB2312"/>
          <w:b/>
          <w:bCs/>
          <w:color w:val="auto"/>
          <w:sz w:val="32"/>
          <w:szCs w:val="32"/>
          <w:lang w:val="en-US" w:eastAsia="zh-CN"/>
        </w:rPr>
        <w:t>铬</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铬是天然存在于岩石、动植物和火山土壤中的一种常见元素。自然过程或铬酸盐生产、镀铬和皮革鞣制等人为活动使铬主要以三价铬和六价铬的化合物形式释放到环境中。铬的毒性与其价态有关，铬化合物中以六价铬的毒性最大，对呼吸道、消化道有一定健康影响，三价铬是一种必须的营养元素。《食品安全国家标准 食品中污染物限量》（GB 2762—2022）中规定，新鲜蔬菜中铬的最大限量值为0.5mg/kg。菠菜中铬检测值超标的原因，可能与其在生长过程中对环境中铬元素的积累有关。</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kern w:val="2"/>
          <w:sz w:val="32"/>
          <w:szCs w:val="32"/>
          <w:lang w:val="en-US" w:eastAsia="zh-CN" w:bidi="ar-SA"/>
        </w:rPr>
        <w:t>五、</w:t>
      </w:r>
      <w:r>
        <w:rPr>
          <w:rFonts w:hint="eastAsia" w:ascii="仿宋_GB2312" w:hAnsi="仿宋_GB2312" w:eastAsia="仿宋_GB2312" w:cs="仿宋_GB2312"/>
          <w:b/>
          <w:bCs/>
          <w:color w:val="auto"/>
          <w:sz w:val="32"/>
          <w:szCs w:val="32"/>
          <w:lang w:val="en-US" w:eastAsia="zh-CN"/>
        </w:rPr>
        <w:t>阴离子合成洗涤剂</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阴离子合成洗涤剂，即我们日常生活中经常用到的洗洁精、洗衣粉、洗衣液等洗涤剂的主要成分，因其使用方便、易溶解、稳定性好、成本低等优点，在消毒企业中广泛使用。按照国家标准《食品安全国家标准 消毒餐（饮）具》（GB 14934-2016），采用化学消毒法的餐（饮）具阴离子合成洗涤剂应不得检出。不合格的原因可能是餐（饮）具消毒单位使用的洗涤剂使用量过大或清洗消毒流程控制不当，造成洗涤剂在餐具上的残留。</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六、</w:t>
      </w:r>
      <w:r>
        <w:rPr>
          <w:rFonts w:hint="eastAsia" w:ascii="仿宋_GB2312" w:hAnsi="仿宋_GB2312" w:eastAsia="仿宋_GB2312" w:cs="仿宋_GB2312"/>
          <w:b/>
          <w:bCs/>
          <w:color w:val="auto"/>
          <w:sz w:val="32"/>
          <w:szCs w:val="32"/>
          <w:lang w:val="en-US" w:eastAsia="zh-CN"/>
        </w:rPr>
        <w:t>地西泮</w:t>
      </w:r>
    </w:p>
    <w:p>
      <w:pPr>
        <w:pStyle w:val="3"/>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西泮，为苯二氮卓类镇静催眠药，为白色或类白色的结晶性粉末、无臭，在丙酮或三氯甲烷中易溶，在乙醇中溶解，在水中几乎不溶，熔点为130~134℃。临床上用于抗焦虑、镇静催眠、抗惊厥、抗癫痫及中枢性肌肉松弛作用。最常见的不良反应是嗜睡、头昏、乏力和记忆力下降，大剂量使用时偶见共济失调。与其他中枢抑制药合用时，中枢抑制作用增强，严重者可致死。长期应用可产生耐受性或依赖性，成瘾停用可出现反跳现象或戒断症状，表现为失眠、焦虑、兴奋、心动过速、呕吐、出汗及震颤，甚至惊厥。《中华人民共和国国家标准食品中兽药最大残留限量》（GB 31650-2019）中明确地西泮药物允许作食用动物的治疗用，但不得在动物性食品中检出。</w:t>
      </w:r>
      <w:r>
        <w:rPr>
          <w:rFonts w:hint="eastAsia" w:ascii="仿宋_GB2312" w:hAnsi="仿宋_GB2312" w:eastAsia="仿宋_GB2312" w:cs="仿宋_GB2312"/>
          <w:kern w:val="2"/>
          <w:sz w:val="32"/>
          <w:szCs w:val="32"/>
          <w:lang w:val="en-US" w:eastAsia="zh-CN" w:bidi="ar-SA"/>
        </w:rPr>
        <w:t>不合格的原因一般是由于饲料添加或者动物疾病治疗导致残留累积在动物体内。</w:t>
      </w:r>
    </w:p>
    <w:p>
      <w:pPr>
        <w:pStyle w:val="2"/>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七、</w:t>
      </w:r>
      <w:r>
        <w:rPr>
          <w:rFonts w:hint="eastAsia" w:ascii="仿宋_GB2312" w:hAnsi="仿宋_GB2312" w:eastAsia="仿宋_GB2312" w:cs="仿宋_GB2312"/>
          <w:b/>
          <w:bCs/>
          <w:color w:val="auto"/>
          <w:sz w:val="32"/>
          <w:szCs w:val="32"/>
          <w:lang w:val="en-US" w:eastAsia="zh-CN"/>
        </w:rPr>
        <w:t>二氧化硫残留量</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仿宋_GB2312" w:hAnsi="仿宋_GB2312" w:eastAsia="仿宋_GB2312" w:cs="仿宋_GB2312"/>
          <w:kern w:val="2"/>
          <w:sz w:val="32"/>
          <w:szCs w:val="32"/>
          <w:lang w:val="en-US" w:eastAsia="zh-CN" w:bidi="ar-SA"/>
        </w:rPr>
        <w:t>二氧化硫是食品加工中常用的漂白剂和防腐剂，遇水以后形成亚硫酸。二氧化硫被氧化时可使食品的着色物质还原褪色，亚硫酸对食品的褐变有抑制作用，对细菌、真菌、酵母菌也有抑制作用，因此既是漂白剂又是防腐剂。二氧化硫进入人体内后最终转化为硫酸盐并随尿液排出体外。少量二氧化硫进入人体不会对身体带来健康危害，但若过量食用会引起如恶心、呕吐等胃肠道反应。《食品安全国家标准 食品添加剂使用标准》（GB 2760-2014）的规定，其他香辛料调味品不得使用。不合格的原因主要是个别生产经营企业使用劣质原料以降低成本，其后为了提高产品色泽超量使用二氧化硫；也有可能是使用时不计量或计量不准确；还有可能是由于使用硫磺熏蒸漂白这种传统工艺或直接使用亚硫酸盐浸泡保鲜所造成。</w:t>
      </w:r>
    </w:p>
    <w:p>
      <w:pPr>
        <w:pStyle w:val="3"/>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八、</w:t>
      </w:r>
      <w:r>
        <w:rPr>
          <w:rFonts w:hint="eastAsia" w:ascii="仿宋_GB2312" w:hAnsi="仿宋_GB2312" w:eastAsia="仿宋_GB2312" w:cs="仿宋_GB2312"/>
          <w:b/>
          <w:bCs/>
          <w:color w:val="auto"/>
          <w:sz w:val="32"/>
          <w:szCs w:val="32"/>
          <w:lang w:val="en-US" w:eastAsia="zh-CN"/>
        </w:rPr>
        <w:t>甲胺磷</w:t>
      </w:r>
    </w:p>
    <w:p>
      <w:pPr>
        <w:pStyle w:val="3"/>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甲胺磷，内吸性的有机磷类杀虫、杀螨剂，具有触杀、胃毒作用，通过根部和叶片吸收。适用于观赏植物、马铃薯、梨果、核果、柑橘类果树、葡萄、啤酒花、甘蓝、甜菜、棉花、玉米、烟草和其他作物，防治咀嚼式和刺吸式害虫和螨。雄大鼠急性经口LD50 为15.6mg/kg，雌大鼠为 13.0mg/kg，急性毒性分级为高毒级。中毒机制是抑制体内胆碱酯酶活性，从而失去分解乙酰胆碱的功能，致使乙酰胆碱在生理部位积聚，发生胆碱能神经功能紊乱的一系列症状，包括多汗、流涎、恶心、呕吐、腹痛、视物模糊、瞳孔缩小、震颤、肌肉痉挛等，严重者可因呼吸中枢麻痹而死亡。食用食品一般不会导致甲胺磷的急性中毒， 但长期食用甲胺磷超标的食品，对人体健康也有一定影响。《食品安全国家标准 食品中农药最大残留限量》（GB 2763-2021）中 </w:t>
      </w:r>
      <w:r>
        <w:rPr>
          <w:rFonts w:hint="eastAsia" w:ascii="仿宋_GB2312" w:hAnsi="仿宋_GB2312" w:eastAsia="仿宋_GB2312" w:cs="仿宋_GB2312"/>
          <w:sz w:val="32"/>
          <w:szCs w:val="32"/>
          <w:lang w:val="en-US" w:eastAsia="zh-CN"/>
        </w:rPr>
        <w:t>规定，菜豆</w:t>
      </w:r>
      <w:r>
        <w:rPr>
          <w:rFonts w:hint="eastAsia" w:ascii="仿宋_GB2312" w:hAnsi="仿宋_GB2312" w:eastAsia="仿宋_GB2312" w:cs="仿宋_GB2312"/>
          <w:kern w:val="2"/>
          <w:sz w:val="32"/>
          <w:szCs w:val="32"/>
          <w:lang w:val="en-US" w:eastAsia="zh-CN" w:bidi="ar-SA"/>
        </w:rPr>
        <w:t>中的甲胺磷最大残留限量为0.05mg/kg。其超标的原因</w:t>
      </w:r>
      <w:bookmarkStart w:id="0" w:name="_GoBack"/>
      <w:bookmarkEnd w:id="0"/>
      <w:r>
        <w:rPr>
          <w:rFonts w:hint="eastAsia" w:ascii="仿宋_GB2312" w:hAnsi="仿宋_GB2312" w:eastAsia="仿宋_GB2312" w:cs="仿宋_GB2312"/>
          <w:kern w:val="2"/>
          <w:sz w:val="32"/>
          <w:szCs w:val="32"/>
          <w:lang w:val="en-US" w:eastAsia="zh-CN" w:bidi="ar-SA"/>
        </w:rPr>
        <w:t>可能是菜农不了解使用农药的安全间隔期，违规使用或滥用农药。</w:t>
      </w:r>
    </w:p>
    <w:p>
      <w:pPr>
        <w:spacing w:line="560" w:lineRule="exact"/>
        <w:ind w:firstLine="640"/>
        <w:rPr>
          <w:rFonts w:ascii="仿宋_GB2312" w:hAnsi="仿宋_GB2312" w:eastAsia="仿宋_GB2312" w:cs="仿宋_GB2312"/>
          <w:sz w:val="32"/>
          <w:szCs w:val="32"/>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Noto Sans CJK JP Regular">
    <w:altName w:val="Arial"/>
    <w:panose1 w:val="00000000000000000000"/>
    <w:charset w:val="00"/>
    <w:family w:val="swiss"/>
    <w:pitch w:val="default"/>
    <w:sig w:usb0="00000000" w:usb1="00000000" w:usb2="00000000"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ODRkYTE4ZmU1YjUwNzU1MjhmYzFiNzY0YmU2ZGIifQ=="/>
  </w:docVars>
  <w:rsids>
    <w:rsidRoot w:val="00FD2B37"/>
    <w:rsid w:val="000016E1"/>
    <w:rsid w:val="0003690D"/>
    <w:rsid w:val="00036EB3"/>
    <w:rsid w:val="00060D1E"/>
    <w:rsid w:val="00066ADE"/>
    <w:rsid w:val="00070249"/>
    <w:rsid w:val="00071256"/>
    <w:rsid w:val="00092DC3"/>
    <w:rsid w:val="00093FE5"/>
    <w:rsid w:val="000B2481"/>
    <w:rsid w:val="000B64D7"/>
    <w:rsid w:val="000D273D"/>
    <w:rsid w:val="000F18F8"/>
    <w:rsid w:val="00105D0B"/>
    <w:rsid w:val="00144D33"/>
    <w:rsid w:val="0015109E"/>
    <w:rsid w:val="00184771"/>
    <w:rsid w:val="00185B06"/>
    <w:rsid w:val="001A366C"/>
    <w:rsid w:val="001A3C74"/>
    <w:rsid w:val="001A442F"/>
    <w:rsid w:val="001B43FF"/>
    <w:rsid w:val="001C4DC8"/>
    <w:rsid w:val="001F4E50"/>
    <w:rsid w:val="002010D0"/>
    <w:rsid w:val="00203602"/>
    <w:rsid w:val="00211B11"/>
    <w:rsid w:val="00226353"/>
    <w:rsid w:val="00227F5D"/>
    <w:rsid w:val="00241235"/>
    <w:rsid w:val="00243501"/>
    <w:rsid w:val="00262D97"/>
    <w:rsid w:val="002A6879"/>
    <w:rsid w:val="002A78F8"/>
    <w:rsid w:val="002C0BAD"/>
    <w:rsid w:val="00306C14"/>
    <w:rsid w:val="00324136"/>
    <w:rsid w:val="003519EF"/>
    <w:rsid w:val="003610E0"/>
    <w:rsid w:val="0036138E"/>
    <w:rsid w:val="003658D4"/>
    <w:rsid w:val="003737A8"/>
    <w:rsid w:val="003742A9"/>
    <w:rsid w:val="003810BD"/>
    <w:rsid w:val="003960DC"/>
    <w:rsid w:val="003A56E1"/>
    <w:rsid w:val="003B7897"/>
    <w:rsid w:val="003C0DA1"/>
    <w:rsid w:val="003C3EDE"/>
    <w:rsid w:val="003C53BE"/>
    <w:rsid w:val="003D4F99"/>
    <w:rsid w:val="003D7496"/>
    <w:rsid w:val="003F5286"/>
    <w:rsid w:val="00400350"/>
    <w:rsid w:val="00401835"/>
    <w:rsid w:val="0040273F"/>
    <w:rsid w:val="00410C68"/>
    <w:rsid w:val="00411356"/>
    <w:rsid w:val="00420F06"/>
    <w:rsid w:val="00431BC2"/>
    <w:rsid w:val="00433E12"/>
    <w:rsid w:val="00443775"/>
    <w:rsid w:val="00447967"/>
    <w:rsid w:val="0046242B"/>
    <w:rsid w:val="00471B94"/>
    <w:rsid w:val="004767AC"/>
    <w:rsid w:val="004A03DB"/>
    <w:rsid w:val="004A1592"/>
    <w:rsid w:val="004A2B8A"/>
    <w:rsid w:val="004A333B"/>
    <w:rsid w:val="004A4845"/>
    <w:rsid w:val="004C210B"/>
    <w:rsid w:val="004C3C95"/>
    <w:rsid w:val="004C5F67"/>
    <w:rsid w:val="004D0B2D"/>
    <w:rsid w:val="004E2611"/>
    <w:rsid w:val="004E2F3B"/>
    <w:rsid w:val="004E3F89"/>
    <w:rsid w:val="004F67A9"/>
    <w:rsid w:val="00504196"/>
    <w:rsid w:val="005113D5"/>
    <w:rsid w:val="0051389C"/>
    <w:rsid w:val="00515237"/>
    <w:rsid w:val="0051613B"/>
    <w:rsid w:val="005170F2"/>
    <w:rsid w:val="005214E3"/>
    <w:rsid w:val="00541099"/>
    <w:rsid w:val="00543FE5"/>
    <w:rsid w:val="00557586"/>
    <w:rsid w:val="0057203E"/>
    <w:rsid w:val="00572BAB"/>
    <w:rsid w:val="0058414F"/>
    <w:rsid w:val="005A28DA"/>
    <w:rsid w:val="005A29A8"/>
    <w:rsid w:val="005B3070"/>
    <w:rsid w:val="005D7D61"/>
    <w:rsid w:val="005F50AC"/>
    <w:rsid w:val="005F6BBE"/>
    <w:rsid w:val="00600402"/>
    <w:rsid w:val="006102BB"/>
    <w:rsid w:val="006115FE"/>
    <w:rsid w:val="00623663"/>
    <w:rsid w:val="00623E1D"/>
    <w:rsid w:val="00630DED"/>
    <w:rsid w:val="006479FB"/>
    <w:rsid w:val="006559BB"/>
    <w:rsid w:val="006579D8"/>
    <w:rsid w:val="0066166D"/>
    <w:rsid w:val="00662627"/>
    <w:rsid w:val="006644DE"/>
    <w:rsid w:val="00665654"/>
    <w:rsid w:val="00667043"/>
    <w:rsid w:val="00685834"/>
    <w:rsid w:val="006A0103"/>
    <w:rsid w:val="006A2F4F"/>
    <w:rsid w:val="006A47A8"/>
    <w:rsid w:val="006D031A"/>
    <w:rsid w:val="006D0B89"/>
    <w:rsid w:val="006D4707"/>
    <w:rsid w:val="006D642B"/>
    <w:rsid w:val="006E2F81"/>
    <w:rsid w:val="006E350F"/>
    <w:rsid w:val="006E4480"/>
    <w:rsid w:val="006F78F3"/>
    <w:rsid w:val="00712F8A"/>
    <w:rsid w:val="00717400"/>
    <w:rsid w:val="007234A8"/>
    <w:rsid w:val="007342F4"/>
    <w:rsid w:val="00753E5A"/>
    <w:rsid w:val="007627F6"/>
    <w:rsid w:val="00767A4B"/>
    <w:rsid w:val="0077571D"/>
    <w:rsid w:val="00777E82"/>
    <w:rsid w:val="00783707"/>
    <w:rsid w:val="007851A0"/>
    <w:rsid w:val="007853BA"/>
    <w:rsid w:val="00791477"/>
    <w:rsid w:val="0079286F"/>
    <w:rsid w:val="007A1C57"/>
    <w:rsid w:val="007A3E3A"/>
    <w:rsid w:val="007C473D"/>
    <w:rsid w:val="007C65C0"/>
    <w:rsid w:val="007D1621"/>
    <w:rsid w:val="007E261F"/>
    <w:rsid w:val="007F1F00"/>
    <w:rsid w:val="007F7F1E"/>
    <w:rsid w:val="008138ED"/>
    <w:rsid w:val="0081481F"/>
    <w:rsid w:val="008239EF"/>
    <w:rsid w:val="00836412"/>
    <w:rsid w:val="00853571"/>
    <w:rsid w:val="00856241"/>
    <w:rsid w:val="00864B2F"/>
    <w:rsid w:val="00870A47"/>
    <w:rsid w:val="0087467E"/>
    <w:rsid w:val="00883B2F"/>
    <w:rsid w:val="008843D5"/>
    <w:rsid w:val="008862F9"/>
    <w:rsid w:val="008A50B2"/>
    <w:rsid w:val="008A616D"/>
    <w:rsid w:val="008A7229"/>
    <w:rsid w:val="008D3809"/>
    <w:rsid w:val="008F2873"/>
    <w:rsid w:val="008F701C"/>
    <w:rsid w:val="009103F4"/>
    <w:rsid w:val="009105B5"/>
    <w:rsid w:val="0091395C"/>
    <w:rsid w:val="00936F13"/>
    <w:rsid w:val="00945C35"/>
    <w:rsid w:val="0095062B"/>
    <w:rsid w:val="009601E2"/>
    <w:rsid w:val="009619A1"/>
    <w:rsid w:val="00966BEC"/>
    <w:rsid w:val="00990404"/>
    <w:rsid w:val="00994CB1"/>
    <w:rsid w:val="009951E8"/>
    <w:rsid w:val="009A3106"/>
    <w:rsid w:val="009B1F0C"/>
    <w:rsid w:val="009B290A"/>
    <w:rsid w:val="009C06CC"/>
    <w:rsid w:val="009C101E"/>
    <w:rsid w:val="009D4607"/>
    <w:rsid w:val="009E264D"/>
    <w:rsid w:val="009E30A5"/>
    <w:rsid w:val="009F1EEB"/>
    <w:rsid w:val="009F7FDE"/>
    <w:rsid w:val="00A04369"/>
    <w:rsid w:val="00A06F02"/>
    <w:rsid w:val="00A11C2E"/>
    <w:rsid w:val="00A15756"/>
    <w:rsid w:val="00A30976"/>
    <w:rsid w:val="00A448B6"/>
    <w:rsid w:val="00A5347B"/>
    <w:rsid w:val="00A604DD"/>
    <w:rsid w:val="00A631D5"/>
    <w:rsid w:val="00A632C7"/>
    <w:rsid w:val="00A83F59"/>
    <w:rsid w:val="00A92B15"/>
    <w:rsid w:val="00A95920"/>
    <w:rsid w:val="00AA008C"/>
    <w:rsid w:val="00AB7728"/>
    <w:rsid w:val="00AC197F"/>
    <w:rsid w:val="00AC41DC"/>
    <w:rsid w:val="00AC65C2"/>
    <w:rsid w:val="00AF2402"/>
    <w:rsid w:val="00B0153C"/>
    <w:rsid w:val="00B017CD"/>
    <w:rsid w:val="00B16E65"/>
    <w:rsid w:val="00B27063"/>
    <w:rsid w:val="00B363FA"/>
    <w:rsid w:val="00B507A0"/>
    <w:rsid w:val="00B5418B"/>
    <w:rsid w:val="00B61514"/>
    <w:rsid w:val="00B72408"/>
    <w:rsid w:val="00B7502A"/>
    <w:rsid w:val="00B85A46"/>
    <w:rsid w:val="00BB0B75"/>
    <w:rsid w:val="00BB1A1D"/>
    <w:rsid w:val="00BC320E"/>
    <w:rsid w:val="00BD2A73"/>
    <w:rsid w:val="00BE05DF"/>
    <w:rsid w:val="00BE5655"/>
    <w:rsid w:val="00BF0865"/>
    <w:rsid w:val="00BF0B92"/>
    <w:rsid w:val="00BF220C"/>
    <w:rsid w:val="00C005FF"/>
    <w:rsid w:val="00C019B3"/>
    <w:rsid w:val="00C04BC5"/>
    <w:rsid w:val="00C051D2"/>
    <w:rsid w:val="00C06EEF"/>
    <w:rsid w:val="00C10DA1"/>
    <w:rsid w:val="00C14C93"/>
    <w:rsid w:val="00C17D76"/>
    <w:rsid w:val="00C22648"/>
    <w:rsid w:val="00C27143"/>
    <w:rsid w:val="00C30CD9"/>
    <w:rsid w:val="00C33B78"/>
    <w:rsid w:val="00C414DF"/>
    <w:rsid w:val="00C46329"/>
    <w:rsid w:val="00C50B3E"/>
    <w:rsid w:val="00C5381D"/>
    <w:rsid w:val="00C711C8"/>
    <w:rsid w:val="00C82502"/>
    <w:rsid w:val="00C849BF"/>
    <w:rsid w:val="00C87C29"/>
    <w:rsid w:val="00CD01FA"/>
    <w:rsid w:val="00CD443C"/>
    <w:rsid w:val="00CD47AD"/>
    <w:rsid w:val="00CE2BC0"/>
    <w:rsid w:val="00CE3BED"/>
    <w:rsid w:val="00CF766C"/>
    <w:rsid w:val="00D04811"/>
    <w:rsid w:val="00D07237"/>
    <w:rsid w:val="00D108A4"/>
    <w:rsid w:val="00D13332"/>
    <w:rsid w:val="00D20336"/>
    <w:rsid w:val="00D2109C"/>
    <w:rsid w:val="00D26B56"/>
    <w:rsid w:val="00D35C3C"/>
    <w:rsid w:val="00D36133"/>
    <w:rsid w:val="00D42943"/>
    <w:rsid w:val="00D5448B"/>
    <w:rsid w:val="00D5578A"/>
    <w:rsid w:val="00D70919"/>
    <w:rsid w:val="00D91786"/>
    <w:rsid w:val="00D92F06"/>
    <w:rsid w:val="00DA200C"/>
    <w:rsid w:val="00DC12AB"/>
    <w:rsid w:val="00DC59EC"/>
    <w:rsid w:val="00DC6C3D"/>
    <w:rsid w:val="00DE538C"/>
    <w:rsid w:val="00E00868"/>
    <w:rsid w:val="00E05E44"/>
    <w:rsid w:val="00E13795"/>
    <w:rsid w:val="00E22EF3"/>
    <w:rsid w:val="00E3273F"/>
    <w:rsid w:val="00E47890"/>
    <w:rsid w:val="00E47AA6"/>
    <w:rsid w:val="00E605CA"/>
    <w:rsid w:val="00E63F80"/>
    <w:rsid w:val="00E77D8C"/>
    <w:rsid w:val="00E8564F"/>
    <w:rsid w:val="00EB4061"/>
    <w:rsid w:val="00EC1552"/>
    <w:rsid w:val="00EC5C77"/>
    <w:rsid w:val="00ED0966"/>
    <w:rsid w:val="00ED4A1F"/>
    <w:rsid w:val="00ED72D4"/>
    <w:rsid w:val="00ED7C05"/>
    <w:rsid w:val="00F02F0A"/>
    <w:rsid w:val="00F44C7C"/>
    <w:rsid w:val="00F56C32"/>
    <w:rsid w:val="00F90E61"/>
    <w:rsid w:val="00F964D1"/>
    <w:rsid w:val="00FD2B37"/>
    <w:rsid w:val="00FD4320"/>
    <w:rsid w:val="00FD679C"/>
    <w:rsid w:val="00FE0F09"/>
    <w:rsid w:val="00FE1BDD"/>
    <w:rsid w:val="00FE3E44"/>
    <w:rsid w:val="00FF6B92"/>
    <w:rsid w:val="016C08A3"/>
    <w:rsid w:val="01B15800"/>
    <w:rsid w:val="04623771"/>
    <w:rsid w:val="055B3806"/>
    <w:rsid w:val="06BA51D9"/>
    <w:rsid w:val="06FA1317"/>
    <w:rsid w:val="07BD7478"/>
    <w:rsid w:val="07CD6512"/>
    <w:rsid w:val="080554C9"/>
    <w:rsid w:val="08892439"/>
    <w:rsid w:val="08AA4138"/>
    <w:rsid w:val="0A872817"/>
    <w:rsid w:val="0C0B585A"/>
    <w:rsid w:val="0C4A6383"/>
    <w:rsid w:val="0CA21D1B"/>
    <w:rsid w:val="0E7603CF"/>
    <w:rsid w:val="100E2F62"/>
    <w:rsid w:val="12485112"/>
    <w:rsid w:val="12750CD4"/>
    <w:rsid w:val="133833D9"/>
    <w:rsid w:val="13D013B1"/>
    <w:rsid w:val="14A34882"/>
    <w:rsid w:val="15543DCE"/>
    <w:rsid w:val="155838BF"/>
    <w:rsid w:val="176A294E"/>
    <w:rsid w:val="17F673BF"/>
    <w:rsid w:val="18B230CB"/>
    <w:rsid w:val="194523AC"/>
    <w:rsid w:val="19E56C23"/>
    <w:rsid w:val="1A18361C"/>
    <w:rsid w:val="1B442054"/>
    <w:rsid w:val="1B5E7755"/>
    <w:rsid w:val="1B623FAB"/>
    <w:rsid w:val="1BCF2401"/>
    <w:rsid w:val="1C0E0792"/>
    <w:rsid w:val="1C680298"/>
    <w:rsid w:val="1C961170"/>
    <w:rsid w:val="1D7F6563"/>
    <w:rsid w:val="1DB93368"/>
    <w:rsid w:val="1DBC73F6"/>
    <w:rsid w:val="1E2D703A"/>
    <w:rsid w:val="1F442384"/>
    <w:rsid w:val="20831A0C"/>
    <w:rsid w:val="211803A6"/>
    <w:rsid w:val="21DC7625"/>
    <w:rsid w:val="252A521F"/>
    <w:rsid w:val="25E1345C"/>
    <w:rsid w:val="26AC3A6A"/>
    <w:rsid w:val="27BF635C"/>
    <w:rsid w:val="2F106B60"/>
    <w:rsid w:val="2FAC6889"/>
    <w:rsid w:val="31374878"/>
    <w:rsid w:val="31FC5330"/>
    <w:rsid w:val="33CA0F9B"/>
    <w:rsid w:val="36145D8D"/>
    <w:rsid w:val="37E82213"/>
    <w:rsid w:val="37FF6ABF"/>
    <w:rsid w:val="39410FA8"/>
    <w:rsid w:val="397D0DF5"/>
    <w:rsid w:val="3ABB3E24"/>
    <w:rsid w:val="3E4800C5"/>
    <w:rsid w:val="3F233FF3"/>
    <w:rsid w:val="40CB3045"/>
    <w:rsid w:val="44415562"/>
    <w:rsid w:val="44571593"/>
    <w:rsid w:val="447C0AC8"/>
    <w:rsid w:val="457C4AF8"/>
    <w:rsid w:val="45C269AF"/>
    <w:rsid w:val="46767799"/>
    <w:rsid w:val="46DC3A81"/>
    <w:rsid w:val="47FE12B8"/>
    <w:rsid w:val="492B75CC"/>
    <w:rsid w:val="4A2C0732"/>
    <w:rsid w:val="4AE01685"/>
    <w:rsid w:val="4B9E56A6"/>
    <w:rsid w:val="4C773E87"/>
    <w:rsid w:val="4CFA6A2E"/>
    <w:rsid w:val="4D692048"/>
    <w:rsid w:val="4DEB45C9"/>
    <w:rsid w:val="51E81A04"/>
    <w:rsid w:val="525548AD"/>
    <w:rsid w:val="52DB75AA"/>
    <w:rsid w:val="53B611D5"/>
    <w:rsid w:val="546C438E"/>
    <w:rsid w:val="5479292E"/>
    <w:rsid w:val="57302075"/>
    <w:rsid w:val="577F6979"/>
    <w:rsid w:val="58906498"/>
    <w:rsid w:val="58BF0B2C"/>
    <w:rsid w:val="59142C25"/>
    <w:rsid w:val="59367040"/>
    <w:rsid w:val="5BDF44B0"/>
    <w:rsid w:val="5C48699E"/>
    <w:rsid w:val="5C974787"/>
    <w:rsid w:val="5CAE1ED4"/>
    <w:rsid w:val="5E9D546B"/>
    <w:rsid w:val="60A34428"/>
    <w:rsid w:val="60C413D5"/>
    <w:rsid w:val="60FD1AAF"/>
    <w:rsid w:val="61A42F25"/>
    <w:rsid w:val="62EE3A5F"/>
    <w:rsid w:val="63077A44"/>
    <w:rsid w:val="6530528B"/>
    <w:rsid w:val="65B85280"/>
    <w:rsid w:val="666B5E4F"/>
    <w:rsid w:val="66B9305E"/>
    <w:rsid w:val="66EC4C68"/>
    <w:rsid w:val="67A7735B"/>
    <w:rsid w:val="67E06673"/>
    <w:rsid w:val="69E96668"/>
    <w:rsid w:val="6AB44268"/>
    <w:rsid w:val="6C6B4DFB"/>
    <w:rsid w:val="6CA91258"/>
    <w:rsid w:val="72133F6A"/>
    <w:rsid w:val="73586BF5"/>
    <w:rsid w:val="739509AF"/>
    <w:rsid w:val="73A16A2A"/>
    <w:rsid w:val="73CA0BC3"/>
    <w:rsid w:val="745526BB"/>
    <w:rsid w:val="74C57072"/>
    <w:rsid w:val="75287D2D"/>
    <w:rsid w:val="76375D4D"/>
    <w:rsid w:val="76BF021D"/>
    <w:rsid w:val="7A453010"/>
    <w:rsid w:val="7AE94CC8"/>
    <w:rsid w:val="7B053866"/>
    <w:rsid w:val="7BAE0860"/>
    <w:rsid w:val="7C544F27"/>
    <w:rsid w:val="7D3354C1"/>
    <w:rsid w:val="7DB67EA0"/>
    <w:rsid w:val="7F56383A"/>
    <w:rsid w:val="7F6D1C96"/>
    <w:rsid w:val="7F8F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uiPriority w:val="0"/>
    <w:pPr>
      <w:ind w:left="1260" w:leftChars="600"/>
    </w:pPr>
  </w:style>
  <w:style w:type="paragraph" w:styleId="4">
    <w:name w:val="Body Text"/>
    <w:basedOn w:val="1"/>
    <w:link w:val="11"/>
    <w:qFormat/>
    <w:uiPriority w:val="1"/>
    <w:pPr>
      <w:autoSpaceDE w:val="0"/>
      <w:autoSpaceDN w:val="0"/>
      <w:ind w:left="651"/>
      <w:jc w:val="left"/>
    </w:pPr>
    <w:rPr>
      <w:rFonts w:ascii="Noto Sans CJK JP Regular" w:hAnsi="Noto Sans CJK JP Regular" w:eastAsia="Noto Sans CJK JP Regular" w:cs="Noto Sans CJK JP Regular"/>
      <w:kern w:val="0"/>
      <w:szCs w:val="21"/>
      <w:lang w:val="zh-CN" w:bidi="zh-CN"/>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link w:val="4"/>
    <w:qFormat/>
    <w:uiPriority w:val="1"/>
    <w:rPr>
      <w:rFonts w:ascii="Noto Sans CJK JP Regular" w:hAnsi="Noto Sans CJK JP Regular" w:eastAsia="Noto Sans CJK JP Regular" w:cs="Noto Sans CJK JP Regular"/>
      <w:sz w:val="21"/>
      <w:szCs w:val="21"/>
      <w:lang w:val="zh-CN" w:bidi="zh-CN"/>
    </w:rPr>
  </w:style>
  <w:style w:type="paragraph" w:styleId="12">
    <w:name w:val="List Paragraph"/>
    <w:basedOn w:val="1"/>
    <w:unhideWhenUsed/>
    <w:qFormat/>
    <w:uiPriority w:val="1"/>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813</Words>
  <Characters>4640</Characters>
  <Lines>38</Lines>
  <Paragraphs>10</Paragraphs>
  <TotalTime>4</TotalTime>
  <ScaleCrop>false</ScaleCrop>
  <LinksUpToDate>false</LinksUpToDate>
  <CharactersWithSpaces>5443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2020-05-19T03:51:00Z</dcterms:created>
  <dc:creator>zmj zmnj</dc:creator>
  <cp:lastModifiedBy>关你peace</cp:lastModifiedBy>
  <dcterms:modified xsi:type="dcterms:W3CDTF">2023-12-07T03:44:56Z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36CF20FF32BA478597997FB0282B9083_13</vt:lpwstr>
  </property>
</Properties>
</file>