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ind w:left="-991" w:leftChars="-47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pict>
          <v:rect id="_x0000_s2075" o:spid="_x0000_s2075" o:spt="1" style="position:absolute;left:0pt;margin-left:695.4pt;margin-top:165.1pt;height:69.6pt;width:24.6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后期处置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100" o:spid="_x0000_s2100" o:spt="32" type="#_x0000_t32" style="position:absolute;left:0pt;margin-left:674.75pt;margin-top:78.8pt;height:0.05pt;width:19.65pt;z-index:25170432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</w:rPr>
        <w:pict>
          <v:shape id="_x0000_s2101" o:spid="_x0000_s2101" o:spt="32" type="#_x0000_t32" style="position:absolute;left:0pt;margin-left:693.4pt;margin-top:79.3pt;height:122.25pt;width:0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7" o:spid="_x0000_s2087" o:spt="32" type="#_x0000_t32" style="position:absolute;left:0pt;margin-left:671pt;margin-top:203.5pt;height:0.05pt;width:22.85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rect id="_x0000_s2074" o:spid="_x0000_s2074" o:spt="1" style="position:absolute;left:0pt;margin-left:619.85pt;margin-top:163.75pt;height:101.35pt;width:49.1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现场指挥部指挥长宣布</w:t>
                  </w: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级响应结束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73" o:spid="_x0000_s2073" o:spt="1" style="position:absolute;left:0pt;margin-left:620.2pt;margin-top:25.65pt;height:98.3pt;width:50.65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指挥部办公室主任决定</w:t>
                  </w: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级响应结束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1" o:spid="_x0000_s2061" o:spt="1" style="position:absolute;left:0pt;margin-left:411pt;margin-top:367.6pt;height:53.5pt;width:160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加强</w:t>
                  </w: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现场指挥部力量，必要时请求</w:t>
                  </w: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上级</w:t>
                  </w:r>
                  <w:r>
                    <w:rPr>
                      <w:rFonts w:hint="eastAsia" w:ascii="仿宋" w:hAnsi="仿宋" w:eastAsia="仿宋" w:cs="仿宋"/>
                    </w:rPr>
                    <w:t>部门给予支持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093" o:spid="_x0000_s2093" o:spt="32" type="#_x0000_t32" style="position:absolute;left:0pt;margin-left:144.15pt;margin-top:381.1pt;height:0pt;width:22.9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92" o:spid="_x0000_s2092" o:spt="32" type="#_x0000_t32" style="position:absolute;left:0pt;margin-left:144.15pt;margin-top:79.25pt;height:0pt;width:22.9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102" o:spid="_x0000_s2102" o:spt="32" type="#_x0000_t32" style="position:absolute;left:0pt;margin-left:571pt;margin-top:395.05pt;height:0pt;width:93.3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rect id="_x0000_s2068" o:spid="_x0000_s2068" o:spt="1" style="position:absolute;left:0pt;margin-left:545.35pt;margin-top:260.55pt;height:23.5pt;width:70.1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专家组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70" o:spid="_x0000_s2070" o:spt="1" style="position:absolute;left:0pt;margin-left:469.25pt;margin-top:289.25pt;height:23.5pt;width:70.1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新闻报道组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7" o:spid="_x0000_s2067" o:spt="1" style="position:absolute;left:0pt;margin-left:469.25pt;margin-top:260.55pt;height:23.5pt;width:70.1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应急保障组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4" o:spid="_x0000_s2064" o:spt="1" style="position:absolute;left:0pt;margin-left:469.25pt;margin-top:231.5pt;height:23.5pt;width:70.1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安全保卫组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3" o:spid="_x0000_s2063" o:spt="1" style="position:absolute;left:0pt;margin-left:392.25pt;margin-top:231.5pt;height:23.5pt;width:70.1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综合协调组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6" o:spid="_x0000_s2066" o:spt="1" style="position:absolute;left:0pt;margin-left:393pt;margin-top:260.55pt;height:23.5pt;width:70.1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抢险救援组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9" o:spid="_x0000_s2069" o:spt="1" style="position:absolute;left:0pt;margin-left:393.75pt;margin-top:289.25pt;height:23.5pt;width:70.1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医学救援组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72" o:spid="_x0000_s2072" o:spt="1" style="position:absolute;left:0pt;margin-left:352.05pt;margin-top:330.65pt;height:22.45pt;width:100.2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案（事）件调查组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2" o:spid="_x0000_s2062" o:spt="1" style="position:absolute;left:0pt;margin-left:412.35pt;margin-top:178.45pt;height:38.85pt;width:146.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分析研判事故现场情况，展开救援，进行应急处置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60" o:spid="_x0000_s2060" o:spt="1" style="position:absolute;left:0pt;margin-left:411pt;margin-top:69pt;height:23.35pt;width:144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事发地指挥部开展救援工作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5" o:spid="_x0000_s2055" o:spt="1" style="position:absolute;left:0pt;margin-left:167.1pt;margin-top:349.75pt;height:67.7pt;width:24.6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一级响应</w:t>
                  </w:r>
                </w:p>
                <w:p/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9" o:spid="_x0000_s2059" o:spt="1" style="position:absolute;left:0pt;margin-left:229.25pt;margin-top:341.2pt;height:88.9pt;width:69.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总指挥、副总指挥、各成员单位主要负责人赶赴现场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8" o:spid="_x0000_s2058" o:spt="1" style="position:absolute;left:0pt;margin-left:229.8pt;margin-top:172.4pt;height:121.45pt;width:69.3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指挥长带队赶赴现场,成立</w:t>
                  </w: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现场指挥部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3" o:spid="_x0000_s2053" o:spt="1" style="position:absolute;left:0pt;margin-left:89.8pt;margin-top:164.15pt;height:149.35pt;width:22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指挥部启动应急响应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1" o:spid="_x0000_s2051" o:spt="1" style="position:absolute;left:0pt;margin-left:44.95pt;margin-top:151.85pt;height:169.25pt;width:23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指挥部办公室分析研判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097" o:spid="_x0000_s2097" o:spt="32" type="#_x0000_t32" style="position:absolute;left:0pt;margin-left:323.45pt;margin-top:341.35pt;height:0pt;width:28.6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96" o:spid="_x0000_s2096" o:spt="32" type="#_x0000_t32" style="position:absolute;left:0pt;margin-left:323.45pt;margin-top:268.55pt;height:0pt;width:28.6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95" o:spid="_x0000_s2095" o:spt="32" type="#_x0000_t32" style="position:absolute;left:0pt;margin-left:322.35pt;margin-top:199.6pt;height:195.5pt;width:1.1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94" o:spid="_x0000_s2094" o:spt="32" type="#_x0000_t32" style="position:absolute;left:0pt;margin-left:144.15pt;margin-top:79.25pt;height:301.85pt;width:0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9" o:spid="_x0000_s2089" o:spt="32" type="#_x0000_t32" style="position:absolute;left:0pt;margin-left:372.95pt;margin-top:268.55pt;height:0pt;width:19.3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8" o:spid="_x0000_s2088" o:spt="32" type="#_x0000_t32" style="position:absolute;left:0pt;margin-left:191.75pt;margin-top:381.1pt;height:0pt;width:38.05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rect id="_x0000_s2056" o:spid="_x0000_s2056" o:spt="1" style="position:absolute;left:0pt;margin-left:167.1pt;margin-top:202pt;height:66.55pt;width:24.6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二级响应</w:t>
                  </w:r>
                </w:p>
                <w:p/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4" o:spid="_x0000_s2054" o:spt="1" style="position:absolute;left:0pt;margin-left:167.1pt;margin-top:46.95pt;height:66.75pt;width:24.6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三级响应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083" o:spid="_x0000_s2083" o:spt="32" type="#_x0000_t32" style="position:absolute;left:0pt;margin-left:299.1pt;margin-top:199.6pt;height:0pt;width:113.9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rect id="_x0000_s2071" o:spid="_x0000_s2071" o:spt="1" style="position:absolute;left:0pt;margin-left:352.05pt;margin-top:221pt;height:91.75pt;width:20.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现场工作组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084" o:spid="_x0000_s2084" o:spt="32" type="#_x0000_t32" style="position:absolute;left:0pt;margin-left:297.1pt;margin-top:395.1pt;height:0pt;width:113.9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2" o:spid="_x0000_s2082" o:spt="32" type="#_x0000_t32" style="position:absolute;left:0pt;margin-left:297.1pt;margin-top:79.25pt;height:0pt;width:113.9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1" o:spid="_x0000_s2081" o:spt="32" type="#_x0000_t32" style="position:absolute;left:0pt;margin-left:191.75pt;margin-top:79.25pt;height:0pt;width:36.0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0" o:spid="_x0000_s2080" o:spt="32" type="#_x0000_t32" style="position:absolute;left:0pt;margin-left:191.75pt;margin-top:233.95pt;height:0pt;width:38.05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79" o:spid="_x0000_s2079" o:spt="32" type="#_x0000_t32" style="position:absolute;left:0pt;margin-left:111.8pt;margin-top:233.95pt;height:0pt;width:55.3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78" o:spid="_x0000_s2078" o:spt="32" type="#_x0000_t32" style="position:absolute;left:0pt;margin-left:67.95pt;margin-top:233.95pt;height:0pt;width:22.95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77" o:spid="_x0000_s2077" o:spt="32" type="#_x0000_t32" style="position:absolute;left:0pt;margin-left:22pt;margin-top:233.95pt;height:0pt;width:22.95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rect id="_x0000_s2057" o:spid="_x0000_s2057" o:spt="1" style="position:absolute;left:0pt;margin-left:227.8pt;margin-top:41.45pt;height:76.65pt;width:69.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eastAsia="zh-CN"/>
                    </w:rPr>
                    <w:t>区</w:t>
                  </w:r>
                  <w:r>
                    <w:rPr>
                      <w:rFonts w:hint="eastAsia" w:ascii="仿宋" w:hAnsi="仿宋" w:eastAsia="仿宋" w:cs="仿宋"/>
                    </w:rPr>
                    <w:t>指挥部办公室</w:t>
                  </w:r>
                  <w:r>
                    <w:rPr>
                      <w:rFonts w:hint="eastAsia" w:ascii="仿宋" w:hAnsi="仿宋" w:eastAsia="仿宋" w:cs="仿宋"/>
                      <w:color w:val="auto"/>
                      <w:lang w:eastAsia="zh-CN"/>
                    </w:rPr>
                    <w:t>主任带队</w:t>
                  </w:r>
                  <w:r>
                    <w:rPr>
                      <w:rFonts w:hint="eastAsia" w:ascii="仿宋" w:hAnsi="仿宋" w:eastAsia="仿宋" w:cs="仿宋"/>
                    </w:rPr>
                    <w:t>赶赴现场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rect id="_x0000_s2050" o:spid="_x0000_s2050" o:spt="1" style="position:absolute;left:0pt;margin-left:-1pt;margin-top:136.3pt;height:203pt;width:23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8"/>
                    <w:jc w:val="center"/>
                    <w:rPr>
                      <w:rFonts w:hint="eastAsia" w:eastAsiaTheme="minorEastAsia"/>
                      <w:color w:val="auto"/>
                      <w:sz w:val="48"/>
                      <w:szCs w:val="4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</w:rPr>
                    <w:t>道路交通安全突发事件</w:t>
                  </w:r>
                  <w:r>
                    <w:rPr>
                      <w:rFonts w:hint="eastAsia" w:ascii="仿宋" w:hAnsi="仿宋" w:eastAsia="仿宋" w:cs="仿宋"/>
                      <w:color w:val="auto"/>
                      <w:lang w:eastAsia="zh-CN"/>
                    </w:rPr>
                    <w:t>接报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pict>
          <v:shape id="_x0000_s2103" o:spid="_x0000_s2103" o:spt="32" type="#_x0000_t32" style="position:absolute;left:0pt;flip:y;margin-left:664.35pt;margin-top:264.2pt;height:130.9pt;width:0pt;z-index:2517073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" w:hAnsi="仿宋" w:eastAsia="仿宋" w:cs="仿宋"/>
        </w:rPr>
        <w:pict>
          <v:shape id="_x0000_s2086" o:spid="_x0000_s2086" o:spt="32" type="#_x0000_t32" style="position:absolute;left:0pt;flip:y;margin-left:558.85pt;margin-top:201.2pt;height:0.35pt;width:59.8pt;z-index:2516940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</w:rPr>
        <w:pict>
          <v:shape id="_x0000_s2085" o:spid="_x0000_s2085" o:spt="32" type="#_x0000_t32" style="position:absolute;left:0pt;margin-left:555pt;margin-top:79.3pt;height:0pt;width:64.65pt;z-index:2516930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</w:rPr>
        <w:pict>
          <v:rect id="_x0000_s2065" o:spid="_x0000_s2065" o:spt="1" style="position:absolute;left:0pt;margin-left:545.35pt;margin-top:231.5pt;height:23.5pt;width:70.1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" w:hAnsi="仿宋" w:eastAsia="仿宋" w:cs="仿宋"/>
                    </w:rPr>
                    <w:t>善后工作组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方正小标宋_GBK" w:hAnsi="方正小标宋_GBK" w:eastAsia="方正小标宋_GBK" w:cs="方正小标宋_GBK"/>
        <w:b w:val="0"/>
        <w:bCs/>
        <w:sz w:val="44"/>
        <w:szCs w:val="44"/>
        <w:lang w:eastAsia="zh-CN"/>
      </w:rPr>
    </w:pPr>
    <w:r>
      <w:rPr>
        <w:rFonts w:hint="eastAsia" w:ascii="黑体" w:hAnsi="黑体" w:eastAsia="黑体" w:cs="黑体"/>
        <w:b w:val="0"/>
        <w:bCs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b w:val="0"/>
        <w:bCs/>
        <w:sz w:val="32"/>
        <w:szCs w:val="32"/>
        <w:lang w:val="en-US" w:eastAsia="zh-CN"/>
      </w:rPr>
      <w:t>1</w:t>
    </w:r>
  </w:p>
  <w:p>
    <w:pPr>
      <w:pStyle w:val="3"/>
      <w:rPr>
        <w:rFonts w:hint="eastAsia" w:ascii="方正小标宋_GBK" w:hAnsi="方正小标宋_GBK" w:eastAsia="方正小标宋_GBK" w:cs="方正小标宋_GBK"/>
        <w:b w:val="0"/>
        <w:bCs/>
        <w:sz w:val="44"/>
        <w:szCs w:val="44"/>
      </w:rPr>
    </w:pPr>
    <w:r>
      <w:rPr>
        <w:rFonts w:hint="eastAsia" w:ascii="方正小标宋_GBK" w:hAnsi="方正小标宋_GBK" w:eastAsia="方正小标宋_GBK" w:cs="方正小标宋_GBK"/>
        <w:b w:val="0"/>
        <w:bCs/>
        <w:sz w:val="44"/>
        <w:szCs w:val="44"/>
        <w:lang w:eastAsia="zh-CN"/>
      </w:rPr>
      <w:t>尧都区</w:t>
    </w:r>
    <w:r>
      <w:rPr>
        <w:rFonts w:hint="eastAsia" w:ascii="方正小标宋_GBK" w:hAnsi="方正小标宋_GBK" w:eastAsia="方正小标宋_GBK" w:cs="方正小标宋_GBK"/>
        <w:b w:val="0"/>
        <w:bCs/>
        <w:sz w:val="44"/>
        <w:szCs w:val="44"/>
      </w:rPr>
      <w:t>道路交通安全应急响应流程图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648"/>
    <w:rsid w:val="001A032B"/>
    <w:rsid w:val="002E3648"/>
    <w:rsid w:val="00443910"/>
    <w:rsid w:val="00B07650"/>
    <w:rsid w:val="00E47323"/>
    <w:rsid w:val="00F04B22"/>
    <w:rsid w:val="02F668CA"/>
    <w:rsid w:val="08D96A77"/>
    <w:rsid w:val="21CD32B0"/>
    <w:rsid w:val="3DE939E2"/>
    <w:rsid w:val="58131236"/>
    <w:rsid w:val="5BD95C95"/>
    <w:rsid w:val="709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77"/>
        <o:r id="V:Rule2" type="connector" idref="#_x0000_s2078"/>
        <o:r id="V:Rule3" type="connector" idref="#_x0000_s2079"/>
        <o:r id="V:Rule4" type="connector" idref="#_x0000_s2080"/>
        <o:r id="V:Rule5" type="connector" idref="#_x0000_s2081"/>
        <o:r id="V:Rule6" type="connector" idref="#_x0000_s2082"/>
        <o:r id="V:Rule7" type="connector" idref="#_x0000_s2083"/>
        <o:r id="V:Rule8" type="connector" idref="#_x0000_s2084"/>
        <o:r id="V:Rule9" type="connector" idref="#_x0000_s2085"/>
        <o:r id="V:Rule10" type="connector" idref="#_x0000_s2086"/>
        <o:r id="V:Rule11" type="connector" idref="#_x0000_s2087"/>
        <o:r id="V:Rule12" type="connector" idref="#_x0000_s2088"/>
        <o:r id="V:Rule13" type="connector" idref="#_x0000_s2089"/>
        <o:r id="V:Rule14" type="connector" idref="#_x0000_s2092"/>
        <o:r id="V:Rule15" type="connector" idref="#_x0000_s2093"/>
        <o:r id="V:Rule16" type="connector" idref="#_x0000_s2094"/>
        <o:r id="V:Rule17" type="connector" idref="#_x0000_s2095"/>
        <o:r id="V:Rule18" type="connector" idref="#_x0000_s2096"/>
        <o:r id="V:Rule19" type="connector" idref="#_x0000_s2097"/>
        <o:r id="V:Rule20" type="connector" idref="#_x0000_s2100"/>
        <o:r id="V:Rule21" type="connector" idref="#_x0000_s2101"/>
        <o:r id="V:Rule22" type="connector" idref="#_x0000_s2102"/>
        <o:r id="V:Rule23" type="connector" idref="#_x0000_s2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100"/>
    <customShpInfo spid="_x0000_s2101"/>
    <customShpInfo spid="_x0000_s2087"/>
    <customShpInfo spid="_x0000_s2074"/>
    <customShpInfo spid="_x0000_s2073"/>
    <customShpInfo spid="_x0000_s2061"/>
    <customShpInfo spid="_x0000_s2093"/>
    <customShpInfo spid="_x0000_s2092"/>
    <customShpInfo spid="_x0000_s2102"/>
    <customShpInfo spid="_x0000_s2068"/>
    <customShpInfo spid="_x0000_s2070"/>
    <customShpInfo spid="_x0000_s2067"/>
    <customShpInfo spid="_x0000_s2064"/>
    <customShpInfo spid="_x0000_s2063"/>
    <customShpInfo spid="_x0000_s2066"/>
    <customShpInfo spid="_x0000_s2069"/>
    <customShpInfo spid="_x0000_s2072"/>
    <customShpInfo spid="_x0000_s2062"/>
    <customShpInfo spid="_x0000_s2060"/>
    <customShpInfo spid="_x0000_s2055"/>
    <customShpInfo spid="_x0000_s2059"/>
    <customShpInfo spid="_x0000_s2058"/>
    <customShpInfo spid="_x0000_s2053"/>
    <customShpInfo spid="_x0000_s2051"/>
    <customShpInfo spid="_x0000_s2097"/>
    <customShpInfo spid="_x0000_s2096"/>
    <customShpInfo spid="_x0000_s2095"/>
    <customShpInfo spid="_x0000_s2094"/>
    <customShpInfo spid="_x0000_s2089"/>
    <customShpInfo spid="_x0000_s2088"/>
    <customShpInfo spid="_x0000_s2056"/>
    <customShpInfo spid="_x0000_s2054"/>
    <customShpInfo spid="_x0000_s2083"/>
    <customShpInfo spid="_x0000_s2071"/>
    <customShpInfo spid="_x0000_s2084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57"/>
    <customShpInfo spid="_x0000_s2050"/>
    <customShpInfo spid="_x0000_s2103"/>
    <customShpInfo spid="_x0000_s2086"/>
    <customShpInfo spid="_x0000_s2085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68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2022-02-21T05:48:00Z</dcterms:created>
  <dc:creator>admin</dc:creator>
  <cp:lastModifiedBy>文翰印业</cp:lastModifiedBy>
  <dcterms:modified xsi:type="dcterms:W3CDTF">2022-02-28T09:13:37Z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10C545C7F60C42FAAFEC7BE6E69AEF18</vt:lpwstr>
  </property>
  <property fmtid="{D5CDD505-2E9C-101B-9397-08002B2CF9AE}" pid="4" name="KSOSaveFontToCloudKey">
    <vt:lpwstr>296926830_cloud</vt:lpwstr>
  </property>
</Properties>
</file>