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6"/>
          <w:szCs w:val="36"/>
        </w:rPr>
      </w:pPr>
      <w:bookmarkStart w:id="0" w:name="_GoBack"/>
      <w:bookmarkEnd w:id="0"/>
      <w:r>
        <w:rPr>
          <w:rFonts w:hint="eastAsia" w:ascii="黑体" w:hAnsi="黑体" w:eastAsia="黑体"/>
          <w:sz w:val="36"/>
          <w:szCs w:val="36"/>
        </w:rPr>
        <w:t>临汾市</w:t>
      </w:r>
      <w:r>
        <w:rPr>
          <w:rFonts w:hint="eastAsia" w:ascii="黑体" w:hAnsi="黑体" w:eastAsia="黑体"/>
          <w:sz w:val="36"/>
          <w:szCs w:val="36"/>
          <w:lang w:val="en-US" w:eastAsia="zh-CN"/>
        </w:rPr>
        <w:t>尧都区</w:t>
      </w:r>
      <w:r>
        <w:rPr>
          <w:rFonts w:hint="eastAsia" w:ascii="黑体" w:hAnsi="黑体" w:eastAsia="黑体"/>
          <w:sz w:val="36"/>
          <w:szCs w:val="36"/>
        </w:rPr>
        <w:t>水利局《轻微违法行为包容免罚清单》</w:t>
      </w:r>
    </w:p>
    <w:p>
      <w:pPr>
        <w:ind w:firstLine="315" w:firstLineChars="150"/>
        <w:rPr>
          <w:rFonts w:hint="eastAsia"/>
        </w:rPr>
      </w:pPr>
    </w:p>
    <w:tbl>
      <w:tblPr>
        <w:tblStyle w:val="3"/>
        <w:tblW w:w="0" w:type="auto"/>
        <w:tblInd w:w="-3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716"/>
        <w:gridCol w:w="1515"/>
        <w:gridCol w:w="3088"/>
        <w:gridCol w:w="1134"/>
        <w:gridCol w:w="2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tcBorders>
              <w:top w:val="inset" w:color="auto" w:sz="6" w:space="0"/>
              <w:left w:val="inset" w:color="auto" w:sz="6" w:space="0"/>
              <w:bottom w:val="inset" w:color="auto" w:sz="6" w:space="0"/>
              <w:right w:val="inset" w:color="auto" w:sz="6" w:space="0"/>
            </w:tcBorders>
            <w:vAlign w:val="center"/>
          </w:tcPr>
          <w:p>
            <w:pPr>
              <w:pStyle w:val="2"/>
              <w:widowControl/>
              <w:spacing w:before="0" w:beforeAutospacing="0" w:after="0" w:afterAutospacing="0"/>
              <w:jc w:val="center"/>
            </w:pPr>
            <w:r>
              <w:rPr>
                <w:rFonts w:ascii="cesi黑体-gb2312" w:hAnsi="cesi黑体-gb2312"/>
              </w:rPr>
              <w:t>序号</w:t>
            </w:r>
          </w:p>
        </w:tc>
        <w:tc>
          <w:tcPr>
            <w:tcW w:w="151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ascii="cesi黑体-gb2312" w:hAnsi="cesi黑体-gb2312"/>
              </w:rPr>
              <w:t>事项名称</w:t>
            </w: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ascii="cesi黑体-gb2312" w:hAnsi="cesi黑体-gb2312"/>
              </w:rPr>
              <w:t>实施依据</w:t>
            </w:r>
          </w:p>
        </w:tc>
        <w:tc>
          <w:tcPr>
            <w:tcW w:w="1134"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ascii="cesi黑体-gb2312" w:hAnsi="cesi黑体-gb2312"/>
              </w:rPr>
              <w:t>免罚情形</w:t>
            </w: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ascii="cesi黑体-gb2312" w:hAnsi="cesi黑体-gb2312"/>
              </w:rPr>
              <w:t>适用条件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restart"/>
            <w:tcBorders>
              <w:top w:val="inset" w:color="auto" w:sz="6" w:space="0"/>
              <w:left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1</w:t>
            </w:r>
          </w:p>
        </w:tc>
        <w:tc>
          <w:tcPr>
            <w:tcW w:w="1515" w:type="dxa"/>
            <w:vMerge w:val="restart"/>
            <w:tcBorders>
              <w:top w:val="inset" w:color="auto" w:sz="6" w:space="0"/>
              <w:left w:val="nil"/>
              <w:right w:val="inset" w:color="auto" w:sz="6" w:space="0"/>
            </w:tcBorders>
            <w:vAlign w:val="center"/>
          </w:tcPr>
          <w:p>
            <w:pPr>
              <w:pStyle w:val="2"/>
              <w:widowControl/>
              <w:spacing w:before="0" w:beforeAutospacing="0" w:after="0" w:afterAutospacing="0"/>
              <w:jc w:val="center"/>
            </w:pPr>
            <w:r>
              <w:rPr>
                <w:rFonts w:hint="eastAsia" w:ascii="宋体" w:hAnsi="宋体"/>
                <w:sz w:val="21"/>
                <w:szCs w:val="21"/>
              </w:rPr>
              <w:t>违反水土保持管理法律法规行政处罚</w:t>
            </w: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134"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轻微不罚</w:t>
            </w: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hint="eastAsia" w:ascii="宋体" w:hAnsi="宋体"/>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2.开垦或者开发面积在500平方米以下的，收到县级以上地方人民政府水行政主管部门责令停止违法行为通知后，及时采取退耕、恢复植被等补救措施的；</w:t>
            </w:r>
            <w:r>
              <w:rPr>
                <w:sz w:val="20"/>
                <w:szCs w:val="20"/>
              </w:rPr>
              <w:br w:type="textWrapping"/>
            </w:r>
            <w:r>
              <w:rPr>
                <w:rFonts w:hint="eastAsia" w:ascii="宋体" w:hAnsi="宋体"/>
                <w:sz w:val="20"/>
                <w:szCs w:val="20"/>
              </w:rPr>
              <w:t>3.没有造成水土流失危害后果的；</w:t>
            </w:r>
            <w:r>
              <w:rPr>
                <w:sz w:val="20"/>
                <w:szCs w:val="20"/>
              </w:rPr>
              <w:br w:type="textWrapping"/>
            </w:r>
            <w:r>
              <w:rPr>
                <w:rFonts w:hint="eastAsia" w:ascii="宋体" w:hAnsi="宋体"/>
                <w:sz w:val="20"/>
                <w:szCs w:val="20"/>
              </w:rPr>
              <w:t>4.其他法律法规规章明确可以免于处罚的情形。符合上述所有情形的，可以免于行政处罚，但应将本次违法情况进行登记备案，以后再发生类似问题的将不再适用本条件。</w:t>
            </w:r>
          </w:p>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ascii="宋体" w:hAnsi="宋体"/>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continue"/>
            <w:tcBorders>
              <w:left w:val="inset" w:color="auto" w:sz="6" w:space="0"/>
              <w:right w:val="inset" w:color="auto" w:sz="6" w:space="0"/>
            </w:tcBorders>
            <w:vAlign w:val="center"/>
          </w:tcPr>
          <w:p>
            <w:pPr>
              <w:rPr>
                <w:rFonts w:ascii="宋体"/>
                <w:sz w:val="24"/>
                <w:szCs w:val="24"/>
              </w:rPr>
            </w:pPr>
          </w:p>
        </w:tc>
        <w:tc>
          <w:tcPr>
            <w:tcW w:w="1515" w:type="dxa"/>
            <w:vMerge w:val="continue"/>
            <w:tcBorders>
              <w:left w:val="nil"/>
              <w:right w:val="inset" w:color="auto" w:sz="6" w:space="0"/>
            </w:tcBorders>
            <w:vAlign w:val="center"/>
          </w:tcPr>
          <w:p>
            <w:pPr>
              <w:rPr>
                <w:rFonts w:ascii="宋体"/>
                <w:sz w:val="24"/>
                <w:szCs w:val="24"/>
              </w:rPr>
            </w:pP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tc>
        <w:tc>
          <w:tcPr>
            <w:tcW w:w="1134"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轻微不罚</w:t>
            </w: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hint="eastAsia" w:ascii="宋体" w:hAnsi="宋体"/>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2.采挖面积在500平方米以下的，收到县级以上地方人民政府水行政主管部门责令停止违法行为通知后及时停止违法行为并采取补救措施，上缴违法所得的；</w:t>
            </w:r>
            <w:r>
              <w:rPr>
                <w:sz w:val="20"/>
                <w:szCs w:val="20"/>
              </w:rPr>
              <w:br w:type="textWrapping"/>
            </w:r>
            <w:r>
              <w:rPr>
                <w:rFonts w:hint="eastAsia" w:ascii="宋体" w:hAnsi="宋体"/>
                <w:sz w:val="20"/>
                <w:szCs w:val="20"/>
              </w:rPr>
              <w:t>3.没有造成水土流失危害后果的；</w:t>
            </w:r>
            <w:r>
              <w:rPr>
                <w:sz w:val="20"/>
                <w:szCs w:val="20"/>
              </w:rPr>
              <w:br w:type="textWrapping"/>
            </w:r>
            <w:r>
              <w:rPr>
                <w:rFonts w:hint="eastAsia" w:ascii="宋体" w:hAnsi="宋体"/>
                <w:sz w:val="20"/>
                <w:szCs w:val="20"/>
              </w:rPr>
              <w:t>4.其他法律法规规章明确可以免于处罚的情形。符合上述所有情形的，可以免于行政处罚，但应将本次违法情况进行登记备案，以后再发生类似问题的将不再适用本条件。</w:t>
            </w:r>
          </w:p>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ascii="宋体" w:hAnsi="宋体"/>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continue"/>
            <w:tcBorders>
              <w:left w:val="inset" w:color="auto" w:sz="6" w:space="0"/>
              <w:right w:val="inset" w:color="auto" w:sz="6" w:space="0"/>
            </w:tcBorders>
            <w:vAlign w:val="center"/>
          </w:tcPr>
          <w:p>
            <w:pPr>
              <w:rPr>
                <w:rFonts w:ascii="宋体"/>
                <w:sz w:val="24"/>
                <w:szCs w:val="24"/>
              </w:rPr>
            </w:pPr>
          </w:p>
        </w:tc>
        <w:tc>
          <w:tcPr>
            <w:tcW w:w="1515" w:type="dxa"/>
            <w:vMerge w:val="continue"/>
            <w:tcBorders>
              <w:left w:val="nil"/>
              <w:right w:val="inset" w:color="auto" w:sz="6" w:space="0"/>
            </w:tcBorders>
            <w:vAlign w:val="center"/>
          </w:tcPr>
          <w:p>
            <w:pPr>
              <w:rPr>
                <w:rFonts w:ascii="宋体"/>
                <w:sz w:val="24"/>
                <w:szCs w:val="24"/>
              </w:rPr>
            </w:pP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1134"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轻微不罚</w:t>
            </w: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hint="eastAsia" w:ascii="宋体" w:hAnsi="宋体"/>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2.造成水土流失的面积在500平方米以下，收到县级以上地方人民政府林业主管部门、水行政主管部门责令限期改正通知后及时停止违法行为并采取补救措施的；3.没有造成水土流失危害后果的；</w:t>
            </w:r>
            <w:r>
              <w:rPr>
                <w:sz w:val="20"/>
                <w:szCs w:val="20"/>
              </w:rPr>
              <w:br w:type="textWrapping"/>
            </w:r>
            <w:r>
              <w:rPr>
                <w:rFonts w:hint="eastAsia" w:ascii="宋体" w:hAnsi="宋体"/>
                <w:sz w:val="20"/>
                <w:szCs w:val="20"/>
              </w:rPr>
              <w:t>4.其他法律法规规章明确可以免于处罚的情形。符合上述所有情形的，可以免于行政处罚，但应将本次违法情况进行登记备案，以后再发生类似问题的将不再适用本条件。</w:t>
            </w:r>
          </w:p>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continue"/>
            <w:tcBorders>
              <w:left w:val="inset" w:color="auto" w:sz="6" w:space="0"/>
              <w:bottom w:val="inset" w:color="auto" w:sz="6" w:space="0"/>
              <w:right w:val="inset" w:color="auto" w:sz="6" w:space="0"/>
            </w:tcBorders>
            <w:vAlign w:val="center"/>
          </w:tcPr>
          <w:p>
            <w:pPr>
              <w:rPr>
                <w:rFonts w:ascii="宋体"/>
                <w:sz w:val="24"/>
                <w:szCs w:val="24"/>
              </w:rPr>
            </w:pPr>
          </w:p>
        </w:tc>
        <w:tc>
          <w:tcPr>
            <w:tcW w:w="1515" w:type="dxa"/>
            <w:vMerge w:val="continue"/>
            <w:tcBorders>
              <w:left w:val="nil"/>
              <w:bottom w:val="inset" w:color="auto" w:sz="6" w:space="0"/>
              <w:right w:val="inset" w:color="auto" w:sz="6" w:space="0"/>
            </w:tcBorders>
            <w:vAlign w:val="center"/>
          </w:tcPr>
          <w:p>
            <w:pPr>
              <w:rPr>
                <w:rFonts w:ascii="宋体"/>
                <w:sz w:val="24"/>
                <w:szCs w:val="24"/>
              </w:rPr>
            </w:pP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1134"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轻微不罚</w:t>
            </w: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hint="eastAsia" w:ascii="宋体" w:hAnsi="宋体"/>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2.在水土保持方案确定的专门存放地以外的区域倾倒砂、石、土、矸石、尾矿、废渣等在500立方米以下的；</w:t>
            </w:r>
            <w:r>
              <w:rPr>
                <w:sz w:val="20"/>
                <w:szCs w:val="20"/>
              </w:rPr>
              <w:br w:type="textWrapping"/>
            </w:r>
            <w:r>
              <w:rPr>
                <w:rFonts w:hint="eastAsia" w:ascii="宋体" w:hAnsi="宋体"/>
                <w:sz w:val="20"/>
                <w:szCs w:val="20"/>
              </w:rPr>
              <w:t>3.根据县级以上人民政府水行政主管部门改正通知停止违法行为、限期清理的；</w:t>
            </w:r>
            <w:r>
              <w:rPr>
                <w:sz w:val="20"/>
                <w:szCs w:val="20"/>
              </w:rPr>
              <w:br w:type="textWrapping"/>
            </w:r>
            <w:r>
              <w:rPr>
                <w:rFonts w:hint="eastAsia" w:ascii="宋体" w:hAnsi="宋体"/>
                <w:sz w:val="20"/>
                <w:szCs w:val="20"/>
              </w:rPr>
              <w:t>4.没有造成水土流失危害后果的；</w:t>
            </w:r>
            <w:r>
              <w:rPr>
                <w:sz w:val="20"/>
                <w:szCs w:val="20"/>
              </w:rPr>
              <w:br w:type="textWrapping"/>
            </w:r>
            <w:r>
              <w:rPr>
                <w:rFonts w:hint="eastAsia" w:ascii="宋体" w:hAnsi="宋体"/>
                <w:sz w:val="20"/>
                <w:szCs w:val="20"/>
              </w:rPr>
              <w:t>5.其他法律法规规章明确可以免于处罚的情形。符合上述所有情形的，可以免于行政处罚，但应将本次违法情况进行登记备案，以后再发生类似问题的将不再适用本条件</w:t>
            </w:r>
          </w:p>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01" w:hRule="atLeast"/>
        </w:trPr>
        <w:tc>
          <w:tcPr>
            <w:tcW w:w="716" w:type="dxa"/>
            <w:vMerge w:val="restart"/>
            <w:tcBorders>
              <w:top w:val="inset" w:color="auto" w:sz="6" w:space="0"/>
              <w:left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2</w:t>
            </w:r>
          </w:p>
        </w:tc>
        <w:tc>
          <w:tcPr>
            <w:tcW w:w="1515" w:type="dxa"/>
            <w:vMerge w:val="restart"/>
            <w:tcBorders>
              <w:top w:val="inset" w:color="auto" w:sz="6" w:space="0"/>
              <w:left w:val="nil"/>
              <w:right w:val="inset" w:color="auto" w:sz="6" w:space="0"/>
            </w:tcBorders>
            <w:vAlign w:val="center"/>
          </w:tcPr>
          <w:p>
            <w:pPr>
              <w:pStyle w:val="2"/>
              <w:widowControl/>
              <w:spacing w:before="0" w:beforeAutospacing="0" w:after="0" w:afterAutospacing="0"/>
              <w:jc w:val="center"/>
            </w:pPr>
            <w:r>
              <w:rPr>
                <w:rFonts w:hint="eastAsia" w:ascii="宋体" w:hAnsi="宋体"/>
                <w:sz w:val="21"/>
                <w:szCs w:val="21"/>
              </w:rPr>
              <w:t>违反水资源管理法律法规行政处罚</w:t>
            </w: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tc>
        <w:tc>
          <w:tcPr>
            <w:tcW w:w="1134" w:type="dxa"/>
            <w:vMerge w:val="restart"/>
            <w:tcBorders>
              <w:top w:val="inset" w:color="auto" w:sz="6" w:space="0"/>
              <w:left w:val="nil"/>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首违免罚</w:t>
            </w:r>
          </w:p>
        </w:tc>
        <w:tc>
          <w:tcPr>
            <w:tcW w:w="2225" w:type="dxa"/>
            <w:vMerge w:val="restart"/>
            <w:tcBorders>
              <w:top w:val="inset" w:color="auto" w:sz="6" w:space="0"/>
              <w:left w:val="nil"/>
              <w:right w:val="inset" w:color="auto" w:sz="6" w:space="0"/>
            </w:tcBorders>
            <w:vAlign w:val="center"/>
          </w:tcPr>
          <w:p>
            <w:pPr>
              <w:pStyle w:val="2"/>
              <w:widowControl/>
              <w:spacing w:before="0" w:beforeAutospacing="0" w:after="0" w:afterAutospacing="0"/>
              <w:rPr>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2.停止违法行为，签署承诺书保证不再违反同类规定，限期采取补救措施；</w:t>
            </w:r>
            <w:r>
              <w:rPr>
                <w:sz w:val="20"/>
                <w:szCs w:val="20"/>
              </w:rPr>
              <w:br w:type="textWrapping"/>
            </w:r>
            <w:r>
              <w:rPr>
                <w:rFonts w:hint="eastAsia" w:ascii="宋体" w:hAnsi="宋体"/>
                <w:sz w:val="20"/>
                <w:szCs w:val="20"/>
              </w:rPr>
              <w:t>3.未经批准擅自取水且年取水量小于5000立方米的；取水许可证逾期仍取水且30日内提交取水许可延续申请的；超许可水量取水且超出部分小于许可水量10%或1000立方米的；地下水取水工程未安装计量设施且在规定时限内按照相关技术规范完成计量设施安装的；</w:t>
            </w:r>
            <w:r>
              <w:rPr>
                <w:sz w:val="20"/>
                <w:szCs w:val="20"/>
              </w:rPr>
              <w:br w:type="textWrapping"/>
            </w:r>
            <w:r>
              <w:rPr>
                <w:rFonts w:hint="eastAsia" w:ascii="宋体" w:hAnsi="宋体"/>
                <w:sz w:val="20"/>
                <w:szCs w:val="20"/>
              </w:rPr>
              <w:t>4.当事人配合当地水利部门的检查、调查等工作；</w:t>
            </w:r>
            <w:r>
              <w:rPr>
                <w:sz w:val="20"/>
                <w:szCs w:val="20"/>
              </w:rPr>
              <w:br w:type="textWrapping"/>
            </w:r>
            <w:r>
              <w:rPr>
                <w:rFonts w:hint="eastAsia" w:ascii="宋体" w:hAnsi="宋体"/>
                <w:sz w:val="20"/>
                <w:szCs w:val="20"/>
              </w:rPr>
              <w:t>5.其他可以免于处罚的情形。符合上述所有情形的，可以免于行政处罚，但应将本次违法情况进行登记备案，以后再发生类似问题的将不再适用本条件。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31" w:hRule="atLeast"/>
        </w:trPr>
        <w:tc>
          <w:tcPr>
            <w:tcW w:w="716" w:type="dxa"/>
            <w:vMerge w:val="continue"/>
            <w:tcBorders>
              <w:left w:val="inset" w:color="auto" w:sz="6" w:space="0"/>
              <w:right w:val="inset" w:color="auto" w:sz="6" w:space="0"/>
            </w:tcBorders>
            <w:vAlign w:val="center"/>
          </w:tcPr>
          <w:p>
            <w:pPr>
              <w:rPr>
                <w:rFonts w:ascii="宋体"/>
                <w:sz w:val="24"/>
                <w:szCs w:val="24"/>
              </w:rPr>
            </w:pPr>
          </w:p>
        </w:tc>
        <w:tc>
          <w:tcPr>
            <w:tcW w:w="1515" w:type="dxa"/>
            <w:vMerge w:val="continue"/>
            <w:tcBorders>
              <w:left w:val="nil"/>
              <w:right w:val="inset" w:color="auto" w:sz="6" w:space="0"/>
            </w:tcBorders>
            <w:vAlign w:val="center"/>
          </w:tcPr>
          <w:p>
            <w:pPr>
              <w:rPr>
                <w:rFonts w:ascii="宋体"/>
                <w:sz w:val="24"/>
                <w:szCs w:val="24"/>
              </w:rPr>
            </w:pP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地下水管理条例》第五十六条第一款地下水取水工程未安装计量设施的，由县级以上地方人民政府水行政主管部门责令限期安装，并按照日最大取水能力计算的取水量计征相关费用，处10万元以上50万元以下罚款；情节严重的，吊销取水许可证。</w:t>
            </w:r>
          </w:p>
        </w:tc>
        <w:tc>
          <w:tcPr>
            <w:tcW w:w="1134" w:type="dxa"/>
            <w:vMerge w:val="continue"/>
            <w:tcBorders>
              <w:left w:val="nil"/>
              <w:right w:val="inset" w:color="auto" w:sz="6" w:space="0"/>
            </w:tcBorders>
            <w:vAlign w:val="center"/>
          </w:tcPr>
          <w:p>
            <w:pPr>
              <w:rPr>
                <w:rFonts w:ascii="宋体"/>
                <w:sz w:val="24"/>
                <w:szCs w:val="24"/>
              </w:rPr>
            </w:pPr>
          </w:p>
        </w:tc>
        <w:tc>
          <w:tcPr>
            <w:tcW w:w="2225" w:type="dxa"/>
            <w:vMerge w:val="continue"/>
            <w:tcBorders>
              <w:left w:val="nil"/>
              <w:bottom w:val="inset" w:color="auto" w:sz="6" w:space="0"/>
              <w:right w:val="inset" w:color="auto" w:sz="6" w:space="0"/>
            </w:tcBorders>
            <w:vAlign w:val="center"/>
          </w:tcPr>
          <w:p>
            <w:pPr>
              <w:rPr>
                <w:rFonts w:ascii="宋体"/>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continue"/>
            <w:tcBorders>
              <w:left w:val="inset" w:color="auto" w:sz="6" w:space="0"/>
              <w:bottom w:val="inset" w:color="auto" w:sz="6" w:space="0"/>
              <w:right w:val="inset" w:color="auto" w:sz="6" w:space="0"/>
            </w:tcBorders>
            <w:vAlign w:val="center"/>
          </w:tcPr>
          <w:p>
            <w:pPr>
              <w:rPr>
                <w:rFonts w:ascii="宋体"/>
                <w:sz w:val="24"/>
                <w:szCs w:val="24"/>
              </w:rPr>
            </w:pPr>
          </w:p>
        </w:tc>
        <w:tc>
          <w:tcPr>
            <w:tcW w:w="1515" w:type="dxa"/>
            <w:vMerge w:val="continue"/>
            <w:tcBorders>
              <w:left w:val="nil"/>
              <w:bottom w:val="inset" w:color="auto" w:sz="6" w:space="0"/>
              <w:right w:val="inset" w:color="auto" w:sz="6" w:space="0"/>
            </w:tcBorders>
            <w:vAlign w:val="center"/>
          </w:tcPr>
          <w:p>
            <w:pPr>
              <w:rPr>
                <w:rFonts w:ascii="宋体"/>
                <w:sz w:val="24"/>
                <w:szCs w:val="24"/>
              </w:rPr>
            </w:pP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tc>
        <w:tc>
          <w:tcPr>
            <w:tcW w:w="1134" w:type="dxa"/>
            <w:vMerge w:val="continue"/>
            <w:tcBorders>
              <w:left w:val="nil"/>
              <w:bottom w:val="inset" w:color="auto" w:sz="6" w:space="0"/>
              <w:right w:val="inset" w:color="auto" w:sz="6" w:space="0"/>
            </w:tcBorders>
            <w:vAlign w:val="center"/>
          </w:tcPr>
          <w:p>
            <w:pPr>
              <w:rPr>
                <w:rFonts w:ascii="宋体"/>
                <w:sz w:val="24"/>
                <w:szCs w:val="24"/>
              </w:rPr>
            </w:pP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sz w:val="20"/>
                <w:szCs w:val="20"/>
              </w:rPr>
            </w:pPr>
            <w:r>
              <w:rPr>
                <w:rFonts w:hint="eastAsia" w:ascii="宋体" w:hAnsi="宋体"/>
                <w:sz w:val="20"/>
                <w:szCs w:val="20"/>
              </w:rPr>
              <w:t>1.当事人配合检查、调查，并及时纠正其违法行为，属于首次被发现；</w:t>
            </w:r>
            <w:r>
              <w:rPr>
                <w:sz w:val="20"/>
                <w:szCs w:val="20"/>
              </w:rPr>
              <w:br w:type="textWrapping"/>
            </w:r>
            <w:r>
              <w:rPr>
                <w:rFonts w:hint="eastAsia" w:ascii="宋体" w:hAnsi="宋体"/>
                <w:sz w:val="20"/>
                <w:szCs w:val="20"/>
              </w:rPr>
              <w:t>2.在规定时间内建成节水设施，或修改达到国家规定的要求，签订承诺书，保证节水设施正常运行的；</w:t>
            </w:r>
            <w:r>
              <w:rPr>
                <w:sz w:val="20"/>
                <w:szCs w:val="20"/>
              </w:rPr>
              <w:br w:type="textWrapping"/>
            </w:r>
            <w:r>
              <w:rPr>
                <w:rFonts w:hint="eastAsia" w:ascii="宋体" w:hAnsi="宋体"/>
                <w:sz w:val="20"/>
                <w:szCs w:val="20"/>
              </w:rPr>
              <w:t>3.没有造成危害后果的；</w:t>
            </w:r>
            <w:r>
              <w:rPr>
                <w:sz w:val="20"/>
                <w:szCs w:val="20"/>
              </w:rPr>
              <w:br w:type="textWrapping"/>
            </w:r>
            <w:r>
              <w:rPr>
                <w:rFonts w:hint="eastAsia" w:ascii="宋体" w:hAnsi="宋体"/>
                <w:sz w:val="20"/>
                <w:szCs w:val="20"/>
              </w:rPr>
              <w:t>4.其他法律法规规章明确可以免于处罚的情形。符合上述所有情形的，可以免于行政处罚，但应将本次违法情况进行登记备案，以后再发生类似问题的将不再适用本条件。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restart"/>
            <w:tcBorders>
              <w:top w:val="inset" w:color="auto" w:sz="6" w:space="0"/>
              <w:left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3</w:t>
            </w:r>
          </w:p>
        </w:tc>
        <w:tc>
          <w:tcPr>
            <w:tcW w:w="1515" w:type="dxa"/>
            <w:vMerge w:val="restart"/>
            <w:tcBorders>
              <w:top w:val="inset" w:color="auto" w:sz="6" w:space="0"/>
              <w:left w:val="nil"/>
              <w:right w:val="inset" w:color="auto" w:sz="6" w:space="0"/>
            </w:tcBorders>
            <w:vAlign w:val="center"/>
          </w:tcPr>
          <w:p>
            <w:pPr>
              <w:pStyle w:val="2"/>
              <w:widowControl/>
              <w:spacing w:before="0" w:beforeAutospacing="0" w:after="0" w:afterAutospacing="0"/>
              <w:jc w:val="center"/>
            </w:pPr>
            <w:r>
              <w:rPr>
                <w:rFonts w:hint="eastAsia" w:ascii="宋体" w:hAnsi="宋体"/>
                <w:sz w:val="21"/>
                <w:szCs w:val="21"/>
              </w:rPr>
              <w:t>违反水利工程管理法律法规行政处罚</w:t>
            </w: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防洪法》第六十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1134" w:type="dxa"/>
            <w:vMerge w:val="restart"/>
            <w:tcBorders>
              <w:top w:val="inset" w:color="auto" w:sz="6" w:space="0"/>
              <w:left w:val="nil"/>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轻微不罚</w:t>
            </w: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rFonts w:hint="eastAsia" w:ascii="宋体" w:hAnsi="宋体"/>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2.停止违法行为，签署承诺书，立即采取补救措施或者立即赔偿损失；</w:t>
            </w:r>
            <w:r>
              <w:rPr>
                <w:sz w:val="20"/>
                <w:szCs w:val="20"/>
              </w:rPr>
              <w:br w:type="textWrapping"/>
            </w:r>
            <w:r>
              <w:rPr>
                <w:rFonts w:hint="eastAsia" w:ascii="宋体" w:hAnsi="宋体"/>
                <w:sz w:val="20"/>
                <w:szCs w:val="20"/>
              </w:rPr>
              <w:t>3.未造成危害后果的，且未对水利工程安全造成影响的；</w:t>
            </w:r>
            <w:r>
              <w:rPr>
                <w:sz w:val="20"/>
                <w:szCs w:val="20"/>
              </w:rPr>
              <w:br w:type="textWrapping"/>
            </w:r>
            <w:r>
              <w:rPr>
                <w:rFonts w:hint="eastAsia" w:ascii="宋体" w:hAnsi="宋体"/>
                <w:sz w:val="20"/>
                <w:szCs w:val="20"/>
              </w:rPr>
              <w:t>4.其他法律法规规章明确可以免于处罚的情形。符合上述所有情形的，可以免于行政处罚，但应将本次违法情况进行登记备案，以后再发生类似问题的将不再适用本条件。</w:t>
            </w:r>
          </w:p>
          <w:p>
            <w:pPr>
              <w:pStyle w:val="2"/>
              <w:widowControl/>
              <w:spacing w:before="0" w:beforeAutospacing="0" w:after="0" w:afterAutospacing="0"/>
              <w:rPr>
                <w:rFonts w:hint="eastAsia" w:ascii="宋体" w:hAnsi="宋体"/>
                <w:sz w:val="20"/>
                <w:szCs w:val="20"/>
              </w:rPr>
            </w:pPr>
          </w:p>
          <w:p>
            <w:pPr>
              <w:pStyle w:val="2"/>
              <w:widowControl/>
              <w:spacing w:before="0" w:beforeAutospacing="0" w:after="0" w:afterAutospacing="0"/>
              <w:rPr>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16" w:type="dxa"/>
            <w:vMerge w:val="continue"/>
            <w:tcBorders>
              <w:left w:val="inset" w:color="auto" w:sz="6" w:space="0"/>
              <w:bottom w:val="inset" w:color="auto" w:sz="6" w:space="0"/>
              <w:right w:val="inset" w:color="auto" w:sz="6" w:space="0"/>
            </w:tcBorders>
            <w:vAlign w:val="center"/>
          </w:tcPr>
          <w:p>
            <w:pPr>
              <w:rPr>
                <w:rFonts w:ascii="宋体"/>
                <w:sz w:val="24"/>
                <w:szCs w:val="24"/>
              </w:rPr>
            </w:pPr>
          </w:p>
        </w:tc>
        <w:tc>
          <w:tcPr>
            <w:tcW w:w="1515" w:type="dxa"/>
            <w:vMerge w:val="continue"/>
            <w:tcBorders>
              <w:left w:val="nil"/>
              <w:bottom w:val="inset" w:color="auto" w:sz="6" w:space="0"/>
              <w:right w:val="inset" w:color="auto" w:sz="6" w:space="0"/>
            </w:tcBorders>
            <w:vAlign w:val="center"/>
          </w:tcPr>
          <w:p>
            <w:pPr>
              <w:rPr>
                <w:rFonts w:ascii="宋体"/>
                <w:sz w:val="24"/>
                <w:szCs w:val="24"/>
              </w:rPr>
            </w:pPr>
          </w:p>
        </w:tc>
        <w:tc>
          <w:tcPr>
            <w:tcW w:w="3088"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jc w:val="center"/>
            </w:pPr>
            <w:r>
              <w:rPr>
                <w:rFonts w:hint="eastAsia" w:ascii="宋体" w:hAnsi="宋体"/>
                <w:sz w:val="22"/>
                <w:szCs w:val="22"/>
              </w:rPr>
              <w:t>《中华人民共和国河道管理条例》第四十五条，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二）在堤防安全保护区内进行打井、钻探、爆破、挖筑鱼塘、采石、取土等危害堤防安全的活动的；（三）非管理人员操作河道上的涵闸闸门或者干扰河道管理单位正常工作的。</w:t>
            </w:r>
          </w:p>
        </w:tc>
        <w:tc>
          <w:tcPr>
            <w:tcW w:w="1134" w:type="dxa"/>
            <w:vMerge w:val="continue"/>
            <w:tcBorders>
              <w:left w:val="nil"/>
              <w:bottom w:val="inset" w:color="auto" w:sz="6" w:space="0"/>
              <w:right w:val="inset" w:color="auto" w:sz="6" w:space="0"/>
            </w:tcBorders>
            <w:vAlign w:val="center"/>
          </w:tcPr>
          <w:p>
            <w:pPr>
              <w:rPr>
                <w:rFonts w:ascii="宋体"/>
                <w:sz w:val="24"/>
                <w:szCs w:val="24"/>
              </w:rPr>
            </w:pPr>
          </w:p>
        </w:tc>
        <w:tc>
          <w:tcPr>
            <w:tcW w:w="2225" w:type="dxa"/>
            <w:tcBorders>
              <w:top w:val="inset" w:color="auto" w:sz="6" w:space="0"/>
              <w:left w:val="nil"/>
              <w:bottom w:val="inset" w:color="auto" w:sz="6" w:space="0"/>
              <w:right w:val="inset" w:color="auto" w:sz="6" w:space="0"/>
            </w:tcBorders>
            <w:vAlign w:val="center"/>
          </w:tcPr>
          <w:p>
            <w:pPr>
              <w:pStyle w:val="2"/>
              <w:widowControl/>
              <w:spacing w:before="0" w:beforeAutospacing="0" w:after="0" w:afterAutospacing="0"/>
              <w:rPr>
                <w:sz w:val="20"/>
                <w:szCs w:val="20"/>
              </w:rPr>
            </w:pPr>
            <w:r>
              <w:rPr>
                <w:rFonts w:hint="eastAsia" w:ascii="宋体" w:hAnsi="宋体"/>
                <w:sz w:val="20"/>
                <w:szCs w:val="20"/>
              </w:rPr>
              <w:t>1.初次违法；</w:t>
            </w:r>
            <w:r>
              <w:rPr>
                <w:sz w:val="20"/>
                <w:szCs w:val="20"/>
              </w:rPr>
              <w:br w:type="textWrapping"/>
            </w:r>
            <w:r>
              <w:rPr>
                <w:rFonts w:hint="eastAsia" w:ascii="宋体" w:hAnsi="宋体"/>
                <w:sz w:val="20"/>
                <w:szCs w:val="20"/>
              </w:rPr>
              <w:t>2.纠正违法行为，签署承诺书，立即赔偿损失、采取补救措施未造成危害后果的；3.未对水利工程安全造成影响的；</w:t>
            </w:r>
            <w:r>
              <w:rPr>
                <w:sz w:val="20"/>
                <w:szCs w:val="20"/>
              </w:rPr>
              <w:br w:type="textWrapping"/>
            </w:r>
            <w:r>
              <w:rPr>
                <w:rFonts w:hint="eastAsia" w:ascii="宋体" w:hAnsi="宋体"/>
                <w:sz w:val="20"/>
                <w:szCs w:val="20"/>
              </w:rPr>
              <w:t>4.其他法律法规规章明确可以免于处罚的情形。符合上述所有情形的，可以免于行政处罚，但应将本次违法情况进行登记备案，以后再发生类似问题的将不再适用本条件。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2YTgxYzI3MTVmMmYwZGEyZWVmY2UzMGYwZGQ5MGIifQ=="/>
  </w:docVars>
  <w:rsids>
    <w:rsidRoot w:val="00291C5C"/>
    <w:rsid w:val="00291C5C"/>
    <w:rsid w:val="00AD5EA9"/>
    <w:rsid w:val="00C95351"/>
    <w:rsid w:val="501A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448</Words>
  <Characters>2555</Characters>
  <Lines>21</Lines>
  <Paragraphs>5</Paragraphs>
  <TotalTime>16</TotalTime>
  <ScaleCrop>false</ScaleCrop>
  <LinksUpToDate>false</LinksUpToDate>
  <CharactersWithSpaces>2998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2023-07-24T01:57:00Z</dcterms:created>
  <dc:creator>微软用户</dc:creator>
  <cp:lastModifiedBy>Administrator</cp:lastModifiedBy>
  <dcterms:modified xsi:type="dcterms:W3CDTF">2023-07-24T02:50:30Z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E207BEBB93D646BCAB69B1350CD6E217_12</vt:lpwstr>
  </property>
</Properties>
</file>